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6E976" w14:textId="6FF9DBE6" w:rsidR="005548E0" w:rsidRDefault="00E34C54" w:rsidP="00E34C54">
      <w:pPr>
        <w:spacing w:after="100" w:line="240" w:lineRule="auto"/>
        <w:rPr>
          <w:b/>
          <w:sz w:val="30"/>
          <w:szCs w:val="30"/>
        </w:rPr>
      </w:pPr>
      <w:r>
        <w:rPr>
          <w:b/>
        </w:rPr>
        <w:br w:type="textWrapping" w:clear="all"/>
      </w:r>
      <w:r w:rsidR="005548E0">
        <w:rPr>
          <w:b/>
          <w:sz w:val="30"/>
          <w:szCs w:val="30"/>
        </w:rPr>
        <w:t>DIRECCI</w:t>
      </w:r>
      <w:r w:rsidR="00BA6DB8">
        <w:rPr>
          <w:b/>
          <w:sz w:val="30"/>
          <w:szCs w:val="30"/>
        </w:rPr>
        <w:t>Ó</w:t>
      </w:r>
      <w:r w:rsidR="005548E0">
        <w:rPr>
          <w:b/>
          <w:sz w:val="30"/>
          <w:szCs w:val="30"/>
        </w:rPr>
        <w:t>N DE PENSIONES DEL ESTADO DE SAN LUIS POTOS</w:t>
      </w:r>
      <w:r w:rsidR="00BA6DB8">
        <w:rPr>
          <w:b/>
          <w:sz w:val="30"/>
          <w:szCs w:val="30"/>
        </w:rPr>
        <w:t>Í</w:t>
      </w:r>
    </w:p>
    <w:p w14:paraId="27C733A1" w14:textId="47927490" w:rsidR="00032C55" w:rsidRDefault="00A47FC6" w:rsidP="00032C55">
      <w:pPr>
        <w:spacing w:after="10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</w:t>
      </w:r>
      <w:r w:rsidR="001B70E2">
        <w:rPr>
          <w:b/>
          <w:sz w:val="30"/>
          <w:szCs w:val="30"/>
        </w:rPr>
        <w:t xml:space="preserve">lan de </w:t>
      </w:r>
      <w:r w:rsidR="009E0571">
        <w:rPr>
          <w:b/>
          <w:sz w:val="30"/>
          <w:szCs w:val="30"/>
        </w:rPr>
        <w:t>T</w:t>
      </w:r>
      <w:r w:rsidR="001B70E2">
        <w:rPr>
          <w:b/>
          <w:sz w:val="30"/>
          <w:szCs w:val="30"/>
        </w:rPr>
        <w:t xml:space="preserve">rabajo </w:t>
      </w:r>
      <w:r w:rsidR="00DF51C1">
        <w:rPr>
          <w:b/>
          <w:sz w:val="30"/>
          <w:szCs w:val="30"/>
        </w:rPr>
        <w:t>202</w:t>
      </w:r>
      <w:r w:rsidR="00945A51">
        <w:rPr>
          <w:b/>
          <w:sz w:val="30"/>
          <w:szCs w:val="30"/>
        </w:rPr>
        <w:t>5</w:t>
      </w:r>
      <w:r w:rsidR="00BA6DB8">
        <w:rPr>
          <w:b/>
          <w:sz w:val="30"/>
          <w:szCs w:val="30"/>
        </w:rPr>
        <w:t>.</w:t>
      </w:r>
    </w:p>
    <w:p w14:paraId="20146036" w14:textId="77777777" w:rsidR="00EF33F0" w:rsidRDefault="00EF33F0" w:rsidP="00A51C60">
      <w:pPr>
        <w:spacing w:after="100" w:line="240" w:lineRule="auto"/>
        <w:jc w:val="both"/>
      </w:pPr>
    </w:p>
    <w:p w14:paraId="48BBBE59" w14:textId="17C506A3" w:rsidR="00A51C60" w:rsidRDefault="00A51C60" w:rsidP="00A51C60">
      <w:pPr>
        <w:spacing w:after="100" w:line="240" w:lineRule="auto"/>
        <w:jc w:val="both"/>
      </w:pPr>
      <w:r>
        <w:t>LA DIRECCI</w:t>
      </w:r>
      <w:r w:rsidR="00BA6DB8">
        <w:t>Ó</w:t>
      </w:r>
      <w:r>
        <w:t>N DE PENSIONES DEL ESTADO DE SAN LUIS POTOS</w:t>
      </w:r>
      <w:r w:rsidR="00BA6DB8">
        <w:t>Í</w:t>
      </w:r>
      <w:r>
        <w:t xml:space="preserve"> ES UN ORGANISMO </w:t>
      </w:r>
      <w:r w:rsidR="00F8717D">
        <w:t>PÚBLICO</w:t>
      </w:r>
      <w:r>
        <w:t xml:space="preserve"> DESCENTRALIZADO ENCARGADO DE LA ADMINISTRACIÓN DE</w:t>
      </w:r>
      <w:r w:rsidR="00A32005">
        <w:t xml:space="preserve"> LOS FONDOS Y OTORGAMIENTO DE PENSIONES, JUBILACIONES Y DEMÁS PRESTACIONES SOCIALES CONTEMPLADAS EN </w:t>
      </w:r>
      <w:r w:rsidR="00CF286B">
        <w:t xml:space="preserve">SU </w:t>
      </w:r>
      <w:r w:rsidR="00A32005">
        <w:t xml:space="preserve">LEY. </w:t>
      </w:r>
    </w:p>
    <w:p w14:paraId="65824827" w14:textId="77777777" w:rsidR="00CF286B" w:rsidRDefault="00CF286B" w:rsidP="00A51C60">
      <w:pPr>
        <w:spacing w:after="100" w:line="240" w:lineRule="auto"/>
        <w:jc w:val="both"/>
      </w:pPr>
    </w:p>
    <w:p w14:paraId="5216E89E" w14:textId="245D36A5" w:rsidR="00A51C60" w:rsidRDefault="00A51C60" w:rsidP="00A51C60">
      <w:pPr>
        <w:spacing w:after="100" w:line="240" w:lineRule="auto"/>
        <w:jc w:val="both"/>
      </w:pPr>
      <w:r>
        <w:t>LA NORMATIVIDAD QUE REGULA SUS FUNCIONES ES LA LEY DE PENSIONES Y PRESTACIONES PARA LOS TRABAJADORES AL SERVICIO DEL ESTADO DE SAN LUIS POTOS</w:t>
      </w:r>
      <w:r w:rsidR="00BA6DB8">
        <w:t>Í</w:t>
      </w:r>
      <w:r>
        <w:t>, ASÍ COMO LOS REGLAMENTOS RESPECTIVOS.</w:t>
      </w:r>
    </w:p>
    <w:p w14:paraId="53E6D72E" w14:textId="77777777" w:rsidR="00A51C60" w:rsidRDefault="00A51C60" w:rsidP="00A51C60">
      <w:pPr>
        <w:spacing w:after="100" w:line="240" w:lineRule="auto"/>
        <w:jc w:val="both"/>
      </w:pPr>
    </w:p>
    <w:p w14:paraId="59D9DB1F" w14:textId="42E5045B" w:rsidR="00A51C60" w:rsidRDefault="00A51C60" w:rsidP="00A51C60">
      <w:pPr>
        <w:spacing w:after="100" w:line="240" w:lineRule="auto"/>
        <w:jc w:val="both"/>
      </w:pPr>
      <w:r>
        <w:t>LA DIRECCI</w:t>
      </w:r>
      <w:r w:rsidR="00BA6DB8">
        <w:t>Ó</w:t>
      </w:r>
      <w:r>
        <w:t>N DE PENSIONES EST</w:t>
      </w:r>
      <w:r w:rsidR="009E0571">
        <w:t>Á</w:t>
      </w:r>
      <w:r>
        <w:t xml:space="preserve"> INTEGRADA POR </w:t>
      </w:r>
      <w:r w:rsidR="009E0571">
        <w:t>SEIS</w:t>
      </w:r>
      <w:r>
        <w:t xml:space="preserve"> </w:t>
      </w:r>
      <w:r w:rsidR="001806C1">
        <w:t>ÁREAS</w:t>
      </w:r>
      <w:r>
        <w:t xml:space="preserve">, </w:t>
      </w:r>
      <w:r w:rsidR="00C11C6D">
        <w:t xml:space="preserve">LA UNIDAD DE TRANSPARENCIA Y LA COORDINACIÓN DE ARCHIVOS. </w:t>
      </w:r>
      <w:r w:rsidR="00BA6DB8">
        <w:t xml:space="preserve"> </w:t>
      </w:r>
      <w:r w:rsidR="00C11C6D">
        <w:t xml:space="preserve">CADA UNA DE ESTAS ÁREAS </w:t>
      </w:r>
      <w:r>
        <w:t>DETERMINAN SU PROGRAMA OPERATIVO CON BASE A L</w:t>
      </w:r>
      <w:r w:rsidR="00457F9A">
        <w:t>AS METAS Y OBJETIVOS ESTABLECIDO</w:t>
      </w:r>
      <w:r>
        <w:t>S PREVIAMENTE</w:t>
      </w:r>
      <w:r w:rsidR="00457F9A">
        <w:t xml:space="preserve"> EN LA PLANEACIÓN DE </w:t>
      </w:r>
      <w:r w:rsidR="009E0571">
        <w:t>SUS</w:t>
      </w:r>
      <w:r w:rsidR="00457F9A">
        <w:t xml:space="preserve"> SERVICIOS.</w:t>
      </w:r>
    </w:p>
    <w:p w14:paraId="6B0DFB65" w14:textId="77777777" w:rsidR="00CE55A2" w:rsidRDefault="00CE55A2" w:rsidP="009E0571">
      <w:pPr>
        <w:spacing w:after="100" w:line="240" w:lineRule="auto"/>
        <w:rPr>
          <w:b/>
        </w:rPr>
      </w:pPr>
    </w:p>
    <w:p w14:paraId="54772549" w14:textId="12723EB7" w:rsidR="00457F9A" w:rsidRDefault="00413637" w:rsidP="00CE55A2">
      <w:pPr>
        <w:spacing w:after="100" w:line="240" w:lineRule="auto"/>
        <w:jc w:val="center"/>
        <w:rPr>
          <w:b/>
        </w:rPr>
      </w:pPr>
      <w:r>
        <w:rPr>
          <w:b/>
        </w:rPr>
        <w:t xml:space="preserve">ÁREA </w:t>
      </w:r>
      <w:r w:rsidR="00457F9A" w:rsidRPr="00983944">
        <w:rPr>
          <w:b/>
        </w:rPr>
        <w:t>DE AFILIACION, VIGENCIA</w:t>
      </w:r>
      <w:r>
        <w:rPr>
          <w:b/>
        </w:rPr>
        <w:t xml:space="preserve"> DE DERECHOS</w:t>
      </w:r>
      <w:r w:rsidR="00457F9A" w:rsidRPr="00983944">
        <w:rPr>
          <w:b/>
        </w:rPr>
        <w:t xml:space="preserve"> Y DEVOLUCION DEL FONDO.</w:t>
      </w:r>
    </w:p>
    <w:p w14:paraId="79DE379C" w14:textId="543D37FF" w:rsidR="00F8717D" w:rsidRPr="00E1185E" w:rsidRDefault="00F93C6C" w:rsidP="00F8717D">
      <w:pPr>
        <w:spacing w:after="100" w:line="240" w:lineRule="auto"/>
        <w:jc w:val="both"/>
      </w:pPr>
      <w:r>
        <w:t>Toda vez que los servicios que otorga el área son a libre demanda del derechohabiente, los objetivos se establecen en días de trámite.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983944" w:rsidRPr="00983944" w14:paraId="6DD09A42" w14:textId="77777777" w:rsidTr="00CE4081">
        <w:tc>
          <w:tcPr>
            <w:tcW w:w="4248" w:type="dxa"/>
          </w:tcPr>
          <w:p w14:paraId="5D08508F" w14:textId="77777777" w:rsidR="00983944" w:rsidRPr="00983944" w:rsidRDefault="005548E0" w:rsidP="00983944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>PROGRAMAS A DESARROLLAR</w:t>
            </w:r>
          </w:p>
        </w:tc>
        <w:tc>
          <w:tcPr>
            <w:tcW w:w="4246" w:type="dxa"/>
          </w:tcPr>
          <w:p w14:paraId="23076594" w14:textId="496DD2B2" w:rsidR="00983944" w:rsidRPr="00983944" w:rsidRDefault="005548E0" w:rsidP="00983944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 xml:space="preserve">META Y </w:t>
            </w:r>
            <w:r w:rsidR="00983944" w:rsidRPr="00983944">
              <w:rPr>
                <w:b/>
              </w:rPr>
              <w:t>OBJETIVO 20</w:t>
            </w:r>
            <w:r w:rsidR="00FF0531">
              <w:rPr>
                <w:b/>
              </w:rPr>
              <w:t>2</w:t>
            </w:r>
            <w:r w:rsidR="00C408EA">
              <w:rPr>
                <w:b/>
              </w:rPr>
              <w:t>5</w:t>
            </w:r>
          </w:p>
        </w:tc>
      </w:tr>
      <w:tr w:rsidR="00983944" w14:paraId="3F82EC74" w14:textId="77777777" w:rsidTr="00CE4081">
        <w:tc>
          <w:tcPr>
            <w:tcW w:w="4248" w:type="dxa"/>
            <w:vAlign w:val="center"/>
          </w:tcPr>
          <w:p w14:paraId="76BAB85B" w14:textId="17F6C34A" w:rsidR="00983944" w:rsidRDefault="009E6C6A" w:rsidP="00983944">
            <w:pPr>
              <w:spacing w:after="100"/>
            </w:pPr>
            <w:r>
              <w:t>Afiliación de derechohabientes, emisión o reposición de credencial de pensiones</w:t>
            </w:r>
            <w:r w:rsidR="00BA6DB8">
              <w:t>.</w:t>
            </w:r>
          </w:p>
        </w:tc>
        <w:tc>
          <w:tcPr>
            <w:tcW w:w="4246" w:type="dxa"/>
            <w:vAlign w:val="center"/>
          </w:tcPr>
          <w:p w14:paraId="743F67ED" w14:textId="39C013CB" w:rsidR="00983944" w:rsidRDefault="004432F5" w:rsidP="00F7144E">
            <w:pPr>
              <w:spacing w:after="100"/>
            </w:pPr>
            <w:r>
              <w:t xml:space="preserve">Se continuará con la renovación de credencial de pensiones de aquellos derechohabientes </w:t>
            </w:r>
            <w:r w:rsidR="00C408EA">
              <w:t>que la soliciten</w:t>
            </w:r>
            <w:r>
              <w:t xml:space="preserve">. </w:t>
            </w:r>
            <w:r w:rsidR="009E6C6A">
              <w:t>La e</w:t>
            </w:r>
            <w:r w:rsidR="00983944">
              <w:t>ntrega de</w:t>
            </w:r>
            <w:r w:rsidR="009E6C6A">
              <w:t xml:space="preserve"> ésta deberá ser </w:t>
            </w:r>
            <w:r w:rsidR="00983944">
              <w:t>el mismo día de la recepción de documentos.</w:t>
            </w:r>
          </w:p>
        </w:tc>
      </w:tr>
      <w:tr w:rsidR="00983944" w14:paraId="2819924B" w14:textId="77777777" w:rsidTr="00CE4081">
        <w:tc>
          <w:tcPr>
            <w:tcW w:w="4248" w:type="dxa"/>
            <w:vAlign w:val="center"/>
          </w:tcPr>
          <w:p w14:paraId="1CB5F3A3" w14:textId="70AEB30A" w:rsidR="00983944" w:rsidRDefault="00F8717D" w:rsidP="00983944">
            <w:pPr>
              <w:spacing w:after="100"/>
            </w:pPr>
            <w:r>
              <w:t>Emisión de constancias de antigüedad</w:t>
            </w:r>
            <w:r w:rsidR="00BA6DB8">
              <w:t>.</w:t>
            </w:r>
          </w:p>
        </w:tc>
        <w:tc>
          <w:tcPr>
            <w:tcW w:w="4246" w:type="dxa"/>
            <w:vAlign w:val="center"/>
          </w:tcPr>
          <w:p w14:paraId="0B50715C" w14:textId="672D99FC" w:rsidR="00983944" w:rsidRDefault="004432F5" w:rsidP="00F7144E">
            <w:pPr>
              <w:spacing w:after="100"/>
            </w:pPr>
            <w:r>
              <w:t xml:space="preserve">Entrega al derechohabiente durante los </w:t>
            </w:r>
            <w:r w:rsidR="00F7144E" w:rsidRPr="00F7144E">
              <w:t xml:space="preserve">quince </w:t>
            </w:r>
            <w:r w:rsidRPr="00F7144E">
              <w:t>días hábiles</w:t>
            </w:r>
            <w:r>
              <w:t xml:space="preserve"> posteriores a la entrega de la solicitud. </w:t>
            </w:r>
          </w:p>
        </w:tc>
      </w:tr>
      <w:tr w:rsidR="002E2567" w14:paraId="745DB3E0" w14:textId="77777777" w:rsidTr="00CE4081">
        <w:tc>
          <w:tcPr>
            <w:tcW w:w="4248" w:type="dxa"/>
            <w:vAlign w:val="center"/>
          </w:tcPr>
          <w:p w14:paraId="780DFFBD" w14:textId="79178512" w:rsidR="002E2567" w:rsidRDefault="002E2567" w:rsidP="00983944">
            <w:pPr>
              <w:spacing w:after="100"/>
            </w:pPr>
            <w:r>
              <w:t>Integración de movimientos de personal</w:t>
            </w:r>
            <w:r w:rsidR="00BA6DB8">
              <w:t>.</w:t>
            </w:r>
          </w:p>
        </w:tc>
        <w:tc>
          <w:tcPr>
            <w:tcW w:w="4246" w:type="dxa"/>
            <w:vAlign w:val="center"/>
          </w:tcPr>
          <w:p w14:paraId="4C18F437" w14:textId="4B062F91" w:rsidR="002E2567" w:rsidRDefault="004432F5" w:rsidP="0087576E">
            <w:pPr>
              <w:spacing w:after="100"/>
            </w:pPr>
            <w:r>
              <w:t>Captura en la base de datos de los movimientos de personal enviados por la Oficialía Mayor y por las Dependencias que integran la Administración Pública Descentralizada, así como los Poderes Legislativo y Judicial.</w:t>
            </w:r>
            <w:r w:rsidR="00CE4081">
              <w:t xml:space="preserve"> </w:t>
            </w:r>
          </w:p>
        </w:tc>
      </w:tr>
      <w:tr w:rsidR="00983944" w14:paraId="1F3AC136" w14:textId="77777777" w:rsidTr="00CE4081">
        <w:tc>
          <w:tcPr>
            <w:tcW w:w="4248" w:type="dxa"/>
            <w:vAlign w:val="center"/>
          </w:tcPr>
          <w:p w14:paraId="49CA86AB" w14:textId="1659047E" w:rsidR="00983944" w:rsidRDefault="00F8717D" w:rsidP="00983944">
            <w:pPr>
              <w:spacing w:after="100"/>
            </w:pPr>
            <w:r>
              <w:t>Devolución del fondo</w:t>
            </w:r>
            <w:r w:rsidR="00BA6DB8">
              <w:t>.</w:t>
            </w:r>
          </w:p>
        </w:tc>
        <w:tc>
          <w:tcPr>
            <w:tcW w:w="4246" w:type="dxa"/>
            <w:vAlign w:val="center"/>
          </w:tcPr>
          <w:p w14:paraId="799D3658" w14:textId="2052DAFB" w:rsidR="00983944" w:rsidRDefault="00FF0531" w:rsidP="00FF0531">
            <w:pPr>
              <w:spacing w:after="100"/>
            </w:pPr>
            <w:r w:rsidRPr="00FF0531">
              <w:t xml:space="preserve">Cinco </w:t>
            </w:r>
            <w:r w:rsidR="00F8717D" w:rsidRPr="00FF0531">
              <w:t>días hábiles</w:t>
            </w:r>
            <w:r w:rsidR="00F8717D">
              <w:t xml:space="preserve"> a partir de</w:t>
            </w:r>
            <w:r w:rsidR="00CE4081">
              <w:t>l día siguiente de</w:t>
            </w:r>
            <w:r w:rsidR="00F8717D">
              <w:t xml:space="preserve"> la entrega completa de documentos</w:t>
            </w:r>
            <w:r w:rsidR="00DE6D27">
              <w:t xml:space="preserve"> por parte del Derechohabiente. </w:t>
            </w:r>
          </w:p>
        </w:tc>
      </w:tr>
      <w:tr w:rsidR="00FF0531" w14:paraId="1864BFAA" w14:textId="77777777" w:rsidTr="00CE4081">
        <w:tc>
          <w:tcPr>
            <w:tcW w:w="4248" w:type="dxa"/>
            <w:vAlign w:val="center"/>
          </w:tcPr>
          <w:p w14:paraId="5D121CA6" w14:textId="77777777" w:rsidR="00FF0531" w:rsidRDefault="00FF0531" w:rsidP="00983944">
            <w:pPr>
              <w:spacing w:after="100"/>
            </w:pPr>
            <w:r>
              <w:t>Pago de bonos a la permanencia</w:t>
            </w:r>
          </w:p>
          <w:p w14:paraId="247EB4A8" w14:textId="4C632031" w:rsidR="00C408EA" w:rsidRPr="00C408EA" w:rsidRDefault="00C408EA" w:rsidP="00C408EA"/>
        </w:tc>
        <w:tc>
          <w:tcPr>
            <w:tcW w:w="4246" w:type="dxa"/>
            <w:vAlign w:val="center"/>
          </w:tcPr>
          <w:p w14:paraId="2BE557C4" w14:textId="70CDCC7D" w:rsidR="00FF0531" w:rsidRPr="00FF0531" w:rsidRDefault="00C408EA" w:rsidP="00FF0531">
            <w:pPr>
              <w:spacing w:after="100"/>
            </w:pPr>
            <w:r>
              <w:t xml:space="preserve">El pago de los bonos a la permanencia depende de la entrega de recursos que </w:t>
            </w:r>
            <w:r>
              <w:lastRenderedPageBreak/>
              <w:t xml:space="preserve">realice la Secretaría de Finanzas. El Área de Afiliación, deberá generar la información de los bonos a pagar durante los primeros 5 días hábiles del mes para realizar la solicitud de recursos. </w:t>
            </w:r>
            <w:r w:rsidR="00FF0531">
              <w:t xml:space="preserve"> </w:t>
            </w:r>
          </w:p>
        </w:tc>
      </w:tr>
    </w:tbl>
    <w:p w14:paraId="6BDD0E54" w14:textId="77777777" w:rsidR="00DE6D27" w:rsidRDefault="00DE6D27" w:rsidP="00F8717D">
      <w:pPr>
        <w:spacing w:after="100" w:line="240" w:lineRule="auto"/>
        <w:jc w:val="center"/>
        <w:rPr>
          <w:b/>
        </w:rPr>
      </w:pPr>
    </w:p>
    <w:p w14:paraId="25A7A4AE" w14:textId="77777777" w:rsidR="00FF0531" w:rsidRDefault="00FF0531" w:rsidP="00F8717D">
      <w:pPr>
        <w:spacing w:after="100" w:line="240" w:lineRule="auto"/>
        <w:jc w:val="center"/>
        <w:rPr>
          <w:b/>
        </w:rPr>
      </w:pPr>
    </w:p>
    <w:p w14:paraId="03A4432B" w14:textId="13A57159" w:rsidR="00F8717D" w:rsidRDefault="00413637" w:rsidP="00F8717D">
      <w:pPr>
        <w:spacing w:after="100" w:line="240" w:lineRule="auto"/>
        <w:jc w:val="center"/>
        <w:rPr>
          <w:b/>
        </w:rPr>
      </w:pPr>
      <w:r>
        <w:rPr>
          <w:b/>
        </w:rPr>
        <w:t>ÁREA</w:t>
      </w:r>
      <w:r w:rsidR="00F8717D" w:rsidRPr="00983944">
        <w:rPr>
          <w:b/>
        </w:rPr>
        <w:t xml:space="preserve"> DE </w:t>
      </w:r>
      <w:r w:rsidR="00F8717D">
        <w:rPr>
          <w:b/>
        </w:rPr>
        <w:t>PRÉSTAMOS A CORTO PLAZO Y TESORERÍA</w:t>
      </w:r>
      <w:r w:rsidR="00F8717D" w:rsidRPr="00983944">
        <w:rPr>
          <w:b/>
        </w:rPr>
        <w:t>.</w:t>
      </w:r>
    </w:p>
    <w:p w14:paraId="4FB16A43" w14:textId="253BA8F6" w:rsidR="00F8717D" w:rsidRDefault="00C408EA" w:rsidP="00F8717D">
      <w:pPr>
        <w:spacing w:after="100" w:line="240" w:lineRule="auto"/>
        <w:jc w:val="both"/>
      </w:pPr>
      <w:r>
        <w:t xml:space="preserve">A la fecha de emisión del presente plan, está suspendido el otorgamiento de préstamos a corto plazo, sua y personales.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5"/>
        <w:gridCol w:w="4249"/>
      </w:tblGrid>
      <w:tr w:rsidR="00F8717D" w:rsidRPr="00983944" w14:paraId="57407470" w14:textId="77777777" w:rsidTr="00CE4081">
        <w:tc>
          <w:tcPr>
            <w:tcW w:w="4245" w:type="dxa"/>
          </w:tcPr>
          <w:p w14:paraId="7EFDFF85" w14:textId="77777777" w:rsidR="00F8717D" w:rsidRPr="00983944" w:rsidRDefault="005548E0" w:rsidP="00B85FF0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>PROGRAMAS A DESARROLLAR</w:t>
            </w:r>
          </w:p>
        </w:tc>
        <w:tc>
          <w:tcPr>
            <w:tcW w:w="4249" w:type="dxa"/>
          </w:tcPr>
          <w:p w14:paraId="71409FD4" w14:textId="79616620" w:rsidR="00F8717D" w:rsidRPr="00983944" w:rsidRDefault="005548E0" w:rsidP="00B85FF0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 xml:space="preserve">METAS Y </w:t>
            </w:r>
            <w:r w:rsidR="00F8717D" w:rsidRPr="00983944">
              <w:rPr>
                <w:b/>
              </w:rPr>
              <w:t>OBJETIVO</w:t>
            </w:r>
            <w:r>
              <w:rPr>
                <w:b/>
              </w:rPr>
              <w:t>S</w:t>
            </w:r>
            <w:r w:rsidR="00F8717D" w:rsidRPr="00983944">
              <w:rPr>
                <w:b/>
              </w:rPr>
              <w:t xml:space="preserve"> 20</w:t>
            </w:r>
            <w:r w:rsidR="00FF0531">
              <w:rPr>
                <w:b/>
              </w:rPr>
              <w:t>2</w:t>
            </w:r>
            <w:r w:rsidR="00C408EA">
              <w:rPr>
                <w:b/>
              </w:rPr>
              <w:t>5</w:t>
            </w:r>
          </w:p>
        </w:tc>
      </w:tr>
      <w:tr w:rsidR="00F8717D" w14:paraId="6297590D" w14:textId="77777777" w:rsidTr="00CE4081">
        <w:tc>
          <w:tcPr>
            <w:tcW w:w="4245" w:type="dxa"/>
            <w:vAlign w:val="center"/>
          </w:tcPr>
          <w:p w14:paraId="2D39CC2D" w14:textId="77777777" w:rsidR="00413637" w:rsidRDefault="00413637" w:rsidP="00B85FF0">
            <w:pPr>
              <w:spacing w:after="100"/>
            </w:pPr>
          </w:p>
          <w:p w14:paraId="63DCF5BA" w14:textId="2C832C4F" w:rsidR="00F8717D" w:rsidRDefault="00F8717D" w:rsidP="00B85FF0">
            <w:pPr>
              <w:spacing w:after="100"/>
            </w:pPr>
            <w:r>
              <w:t>Emisión de préstamos a corto plazo</w:t>
            </w:r>
            <w:r w:rsidR="00FF0531">
              <w:t>, SUA y</w:t>
            </w:r>
            <w:r w:rsidR="00CE4081">
              <w:t xml:space="preserve"> préstamos personales</w:t>
            </w:r>
            <w:r w:rsidR="00BA6DB8">
              <w:t>.</w:t>
            </w:r>
          </w:p>
          <w:p w14:paraId="5EBFC03B" w14:textId="2F0B698C" w:rsidR="00C11C6D" w:rsidRPr="00C11C6D" w:rsidRDefault="00C11C6D" w:rsidP="00C11C6D"/>
        </w:tc>
        <w:tc>
          <w:tcPr>
            <w:tcW w:w="4249" w:type="dxa"/>
            <w:vAlign w:val="center"/>
          </w:tcPr>
          <w:p w14:paraId="7D3E8593" w14:textId="7551289A" w:rsidR="00F8717D" w:rsidRDefault="00C408EA" w:rsidP="00FF0531">
            <w:pPr>
              <w:spacing w:after="100"/>
            </w:pPr>
            <w:r>
              <w:t>La meta se definirá cuando sea reactivado el otorgamiento de préstamos</w:t>
            </w:r>
          </w:p>
        </w:tc>
      </w:tr>
      <w:tr w:rsidR="00F8717D" w14:paraId="7C026336" w14:textId="77777777" w:rsidTr="00CE4081">
        <w:tc>
          <w:tcPr>
            <w:tcW w:w="4245" w:type="dxa"/>
            <w:vAlign w:val="center"/>
          </w:tcPr>
          <w:p w14:paraId="167B5EA9" w14:textId="1BD688B6" w:rsidR="00F8717D" w:rsidRDefault="0025374D" w:rsidP="00B85FF0">
            <w:pPr>
              <w:spacing w:after="100"/>
            </w:pPr>
            <w:r>
              <w:t>Revisión de cartera vencida</w:t>
            </w:r>
            <w:r w:rsidR="00413637">
              <w:t xml:space="preserve"> a través de la Coordinación de Cobranza</w:t>
            </w:r>
            <w:r w:rsidR="00BA6DB8">
              <w:t>.</w:t>
            </w:r>
          </w:p>
        </w:tc>
        <w:tc>
          <w:tcPr>
            <w:tcW w:w="4249" w:type="dxa"/>
            <w:vAlign w:val="center"/>
          </w:tcPr>
          <w:p w14:paraId="15EB3950" w14:textId="64BE18CA" w:rsidR="00F8717D" w:rsidRDefault="00BC5A9D" w:rsidP="00BC5A9D">
            <w:pPr>
              <w:spacing w:after="100"/>
            </w:pPr>
            <w:r>
              <w:t xml:space="preserve">Revisar mensualmente la cartera vencida de préstamos a corto plazo, sua y personales para efecto de tomar las acciones correspondientes para su recuperación: generación de reestructura del crédito, vencimiento anticipado del préstamo contra el fondo de pensiones del trabajador o, en su caso, aplicación del fondo de garantía. </w:t>
            </w:r>
            <w:r w:rsidR="0025374D">
              <w:t xml:space="preserve"> </w:t>
            </w:r>
            <w:r>
              <w:t xml:space="preserve">El objetivo es mantener la cartera vencida por debajo del 5% del saldo total de las cuentas por cobrar por este tipo de préstamos. </w:t>
            </w:r>
          </w:p>
        </w:tc>
      </w:tr>
      <w:tr w:rsidR="007B6A0D" w14:paraId="641030E1" w14:textId="77777777" w:rsidTr="00CE4081">
        <w:tc>
          <w:tcPr>
            <w:tcW w:w="4245" w:type="dxa"/>
            <w:vAlign w:val="center"/>
          </w:tcPr>
          <w:p w14:paraId="02A514D1" w14:textId="3F594F68" w:rsidR="007B6A0D" w:rsidRDefault="007B6A0D" w:rsidP="00B85FF0">
            <w:pPr>
              <w:spacing w:after="100"/>
            </w:pPr>
            <w:r>
              <w:t>Recuperación de descuentos de préstamos a corto plazo</w:t>
            </w:r>
            <w:r w:rsidR="00FB656D">
              <w:t>, personales y sua</w:t>
            </w:r>
            <w:r>
              <w:t xml:space="preserve"> a través de Banorte</w:t>
            </w:r>
            <w:r w:rsidR="00BA6DB8">
              <w:t>.</w:t>
            </w:r>
          </w:p>
        </w:tc>
        <w:tc>
          <w:tcPr>
            <w:tcW w:w="4249" w:type="dxa"/>
            <w:vAlign w:val="center"/>
          </w:tcPr>
          <w:p w14:paraId="121C55B1" w14:textId="62A7B18A" w:rsidR="007B6A0D" w:rsidRDefault="00C408EA" w:rsidP="00FF0531">
            <w:pPr>
              <w:spacing w:after="100"/>
            </w:pPr>
            <w:r>
              <w:t xml:space="preserve">Procesar los archivos </w:t>
            </w:r>
            <w:r w:rsidR="007E269A">
              <w:t>para la cobranza domiciliada en tiempo y forma para obtener por lo menos el 95% de recuperación</w:t>
            </w:r>
          </w:p>
        </w:tc>
      </w:tr>
      <w:tr w:rsidR="00F8717D" w14:paraId="6EEA42EA" w14:textId="77777777" w:rsidTr="00CE4081">
        <w:tc>
          <w:tcPr>
            <w:tcW w:w="4245" w:type="dxa"/>
            <w:vAlign w:val="center"/>
          </w:tcPr>
          <w:p w14:paraId="5C3026D1" w14:textId="0F73F3A9" w:rsidR="00F8717D" w:rsidRDefault="00FF0531" w:rsidP="00B85FF0">
            <w:pPr>
              <w:spacing w:after="100"/>
            </w:pPr>
            <w:r>
              <w:t>Determinación de la liquidez necesaria para el pago de obligaciones a cargo de los fondos de los sectores cotizantes</w:t>
            </w:r>
            <w:r w:rsidR="00BA6DB8">
              <w:t>.</w:t>
            </w:r>
          </w:p>
        </w:tc>
        <w:tc>
          <w:tcPr>
            <w:tcW w:w="4249" w:type="dxa"/>
            <w:vAlign w:val="center"/>
          </w:tcPr>
          <w:p w14:paraId="487C9844" w14:textId="12A6B3DF" w:rsidR="002E2567" w:rsidRDefault="00FF0531" w:rsidP="00A27A8D">
            <w:pPr>
              <w:spacing w:after="100"/>
            </w:pPr>
            <w:r>
              <w:t>Gestionar con la representación de los sectores cotizantes y con las autoridades competentes los recursos que son necesarios para enfrentar el pago, en tiempo y forma, de las obligaciones de pago con derechohabientes.</w:t>
            </w:r>
          </w:p>
        </w:tc>
      </w:tr>
    </w:tbl>
    <w:p w14:paraId="2D967095" w14:textId="77777777" w:rsidR="00D542D4" w:rsidRDefault="00D542D4" w:rsidP="006870F6">
      <w:pPr>
        <w:spacing w:after="100" w:line="240" w:lineRule="auto"/>
        <w:jc w:val="center"/>
        <w:rPr>
          <w:b/>
        </w:rPr>
      </w:pPr>
    </w:p>
    <w:p w14:paraId="62F87C89" w14:textId="5C5954FD" w:rsidR="006870F6" w:rsidRDefault="00413637" w:rsidP="006870F6">
      <w:pPr>
        <w:spacing w:after="100" w:line="240" w:lineRule="auto"/>
        <w:jc w:val="center"/>
        <w:rPr>
          <w:b/>
        </w:rPr>
      </w:pPr>
      <w:r>
        <w:rPr>
          <w:b/>
        </w:rPr>
        <w:t>ÁREA</w:t>
      </w:r>
      <w:r w:rsidR="006870F6" w:rsidRPr="00983944">
        <w:rPr>
          <w:b/>
        </w:rPr>
        <w:t xml:space="preserve"> </w:t>
      </w:r>
      <w:r w:rsidR="006870F6">
        <w:rPr>
          <w:b/>
        </w:rPr>
        <w:t>JURÍDICA, PENSIONES Y PRÉSTAMOS HIPOTECARIOS</w:t>
      </w:r>
      <w:r w:rsidR="006870F6" w:rsidRPr="00983944">
        <w:rPr>
          <w:b/>
        </w:rPr>
        <w:t>.</w:t>
      </w:r>
    </w:p>
    <w:p w14:paraId="71CE9132" w14:textId="7E3F49CF" w:rsidR="006870F6" w:rsidRDefault="007E269A" w:rsidP="006870F6">
      <w:pPr>
        <w:spacing w:after="100" w:line="240" w:lineRule="auto"/>
        <w:jc w:val="both"/>
      </w:pPr>
      <w:r>
        <w:t xml:space="preserve">A la fecha de emisión del presente plan está suspendido el otorgamiento de créditos hipotecarios. </w:t>
      </w:r>
      <w:proofErr w:type="gramStart"/>
      <w:r>
        <w:t>El</w:t>
      </w:r>
      <w:r w:rsidR="006870F6" w:rsidRPr="00DD4028">
        <w:t xml:space="preserve"> objetivo relacionado con el </w:t>
      </w:r>
      <w:r w:rsidR="006B3AB8" w:rsidRPr="00DD4028">
        <w:t>pago de pensiones</w:t>
      </w:r>
      <w:r w:rsidR="006870F6" w:rsidRPr="00DD4028">
        <w:t xml:space="preserve"> no pueden</w:t>
      </w:r>
      <w:proofErr w:type="gramEnd"/>
      <w:r w:rsidR="006870F6" w:rsidRPr="00DD4028">
        <w:t xml:space="preserve"> ser determinado en cuanto a volumen de servicios otorgados en virtud de que depende de la demanda</w:t>
      </w:r>
      <w:r>
        <w:t xml:space="preserve">, </w:t>
      </w:r>
      <w:r w:rsidR="006870F6" w:rsidRPr="00DD4028">
        <w:t>por lo tanto son fijados en cuanto a días de trámite.</w:t>
      </w:r>
      <w:r w:rsidR="002B4CB6">
        <w:t xml:space="preserve"> </w:t>
      </w:r>
    </w:p>
    <w:p w14:paraId="1CA52DEB" w14:textId="77777777" w:rsidR="00EF33F0" w:rsidRDefault="00EF33F0" w:rsidP="006870F6">
      <w:pPr>
        <w:spacing w:after="10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6870F6" w:rsidRPr="00983944" w14:paraId="742B9538" w14:textId="77777777" w:rsidTr="002B4CB6">
        <w:tc>
          <w:tcPr>
            <w:tcW w:w="4244" w:type="dxa"/>
          </w:tcPr>
          <w:p w14:paraId="07DF4280" w14:textId="77777777" w:rsidR="006870F6" w:rsidRPr="00983944" w:rsidRDefault="005548E0" w:rsidP="00B85FF0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>PROGRAMAS A DESARROLLAR</w:t>
            </w:r>
          </w:p>
        </w:tc>
        <w:tc>
          <w:tcPr>
            <w:tcW w:w="4250" w:type="dxa"/>
          </w:tcPr>
          <w:p w14:paraId="1B06EFD6" w14:textId="53FFD10F" w:rsidR="006870F6" w:rsidRPr="00983944" w:rsidRDefault="005548E0" w:rsidP="00B85FF0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 xml:space="preserve">METAS Y </w:t>
            </w:r>
            <w:r w:rsidR="006870F6" w:rsidRPr="00983944">
              <w:rPr>
                <w:b/>
              </w:rPr>
              <w:t>OBJETIVO 20</w:t>
            </w:r>
            <w:r w:rsidR="00FA52D5">
              <w:rPr>
                <w:b/>
              </w:rPr>
              <w:t>2</w:t>
            </w:r>
            <w:r w:rsidR="007E269A">
              <w:rPr>
                <w:b/>
              </w:rPr>
              <w:t>5</w:t>
            </w:r>
          </w:p>
        </w:tc>
      </w:tr>
      <w:tr w:rsidR="006870F6" w14:paraId="3C342C53" w14:textId="77777777" w:rsidTr="002B4CB6">
        <w:tc>
          <w:tcPr>
            <w:tcW w:w="4244" w:type="dxa"/>
            <w:vAlign w:val="center"/>
          </w:tcPr>
          <w:p w14:paraId="47087330" w14:textId="71F7EA53" w:rsidR="006870F6" w:rsidRDefault="006870F6" w:rsidP="006B3AB8">
            <w:pPr>
              <w:spacing w:after="100"/>
            </w:pPr>
            <w:r>
              <w:t xml:space="preserve">Emisión de préstamos </w:t>
            </w:r>
            <w:r w:rsidR="006B3AB8">
              <w:t>hipotecarios</w:t>
            </w:r>
            <w:r w:rsidR="000A6A8D">
              <w:t>.</w:t>
            </w:r>
          </w:p>
        </w:tc>
        <w:tc>
          <w:tcPr>
            <w:tcW w:w="4250" w:type="dxa"/>
            <w:vAlign w:val="center"/>
          </w:tcPr>
          <w:p w14:paraId="2A37DD5E" w14:textId="747D94D5" w:rsidR="006870F6" w:rsidRDefault="007E269A" w:rsidP="00FF0531">
            <w:pPr>
              <w:spacing w:after="100"/>
            </w:pPr>
            <w:r>
              <w:t>La meta se definirá cuando sea reactivado el otorgamiento de préstamos</w:t>
            </w:r>
          </w:p>
        </w:tc>
      </w:tr>
      <w:tr w:rsidR="007B6A0D" w14:paraId="76DE0E45" w14:textId="77777777" w:rsidTr="002B4CB6">
        <w:tc>
          <w:tcPr>
            <w:tcW w:w="4244" w:type="dxa"/>
            <w:vAlign w:val="center"/>
          </w:tcPr>
          <w:p w14:paraId="38954970" w14:textId="3F92910C" w:rsidR="007B6A0D" w:rsidRDefault="007B6A0D" w:rsidP="007B6A0D">
            <w:pPr>
              <w:spacing w:after="100"/>
            </w:pPr>
            <w:r>
              <w:t xml:space="preserve">Recuperación de descuentos de préstamos hipotecarios a través de </w:t>
            </w:r>
            <w:r w:rsidR="000A6A8D">
              <w:t>Institución Bancaria.</w:t>
            </w:r>
          </w:p>
        </w:tc>
        <w:tc>
          <w:tcPr>
            <w:tcW w:w="4250" w:type="dxa"/>
            <w:vAlign w:val="center"/>
          </w:tcPr>
          <w:p w14:paraId="522F2CFF" w14:textId="68CA57B6" w:rsidR="007B6A0D" w:rsidRDefault="007E269A" w:rsidP="00FB656D">
            <w:pPr>
              <w:spacing w:after="100"/>
            </w:pPr>
            <w:r>
              <w:t>Procesar los archivos para la cobranza domiciliada en tiempo y forma para obtener por lo menos el 95% de recuperación</w:t>
            </w:r>
          </w:p>
        </w:tc>
      </w:tr>
      <w:tr w:rsidR="00D31518" w14:paraId="71FE0E97" w14:textId="77777777" w:rsidTr="002B4CB6">
        <w:tc>
          <w:tcPr>
            <w:tcW w:w="4244" w:type="dxa"/>
            <w:vAlign w:val="center"/>
          </w:tcPr>
          <w:p w14:paraId="3FD672E4" w14:textId="6D35D31D" w:rsidR="00D31518" w:rsidRDefault="00D31518" w:rsidP="00413637">
            <w:pPr>
              <w:spacing w:after="100"/>
            </w:pPr>
            <w:r>
              <w:t>Revisión de cartera vencida</w:t>
            </w:r>
            <w:r w:rsidR="000A6A8D">
              <w:t>.</w:t>
            </w:r>
          </w:p>
        </w:tc>
        <w:tc>
          <w:tcPr>
            <w:tcW w:w="4250" w:type="dxa"/>
            <w:vAlign w:val="center"/>
          </w:tcPr>
          <w:p w14:paraId="21025831" w14:textId="12D6A687" w:rsidR="00D31518" w:rsidRDefault="006546A7" w:rsidP="00D31518">
            <w:pPr>
              <w:spacing w:after="100"/>
            </w:pPr>
            <w:r>
              <w:t xml:space="preserve">Realizar la revisión mensual de la cartera vencida de préstamos hipotecarios para su atención, en primera instancia, administrativa a través de la emisión de reestructuras; en segunda instancia a través de la intervención del despacho legal para </w:t>
            </w:r>
            <w:r w:rsidR="009858B3">
              <w:t>asegurar la cobrabilidad del crédito. El objetivo es mantener la cartera vencida por debajo del 7% del saldo total de las cuentas por cobrar por este tipo de préstamos.</w:t>
            </w:r>
          </w:p>
        </w:tc>
      </w:tr>
      <w:tr w:rsidR="006870F6" w14:paraId="7C3DF279" w14:textId="77777777" w:rsidTr="002B4CB6">
        <w:tc>
          <w:tcPr>
            <w:tcW w:w="4244" w:type="dxa"/>
            <w:vAlign w:val="center"/>
          </w:tcPr>
          <w:p w14:paraId="3A8298F0" w14:textId="44F0E224" w:rsidR="006870F6" w:rsidRDefault="006B3AB8" w:rsidP="00B85FF0">
            <w:pPr>
              <w:spacing w:after="100"/>
            </w:pPr>
            <w:r>
              <w:t>Pago de pensiones</w:t>
            </w:r>
            <w:r w:rsidR="000A6A8D">
              <w:t>.</w:t>
            </w:r>
          </w:p>
        </w:tc>
        <w:tc>
          <w:tcPr>
            <w:tcW w:w="4250" w:type="dxa"/>
            <w:vAlign w:val="center"/>
          </w:tcPr>
          <w:p w14:paraId="2B523DA5" w14:textId="77777777" w:rsidR="006870F6" w:rsidRDefault="00CF286B" w:rsidP="00B85FF0">
            <w:pPr>
              <w:spacing w:after="100"/>
            </w:pPr>
            <w:r>
              <w:t>Las pensiones directas serán pagadas de tal manera que se evite dejar al derechohabiente sin recibir ingresos, en el mes siguiente al término de su vida laboral, y las pensiones indirectas serán pagadas conforme al derecho del titular.</w:t>
            </w:r>
          </w:p>
          <w:p w14:paraId="3F32002F" w14:textId="0D13B9A3" w:rsidR="00413637" w:rsidRDefault="00413637" w:rsidP="00B85FF0">
            <w:pPr>
              <w:spacing w:after="100"/>
            </w:pPr>
            <w:r>
              <w:t>Efectuar el pago de pensiones en tiempo y forma de acuerdo a la normatividad.</w:t>
            </w:r>
          </w:p>
        </w:tc>
      </w:tr>
      <w:tr w:rsidR="006B3AB8" w14:paraId="180F18D2" w14:textId="77777777" w:rsidTr="002B4CB6">
        <w:tc>
          <w:tcPr>
            <w:tcW w:w="4244" w:type="dxa"/>
            <w:vAlign w:val="center"/>
          </w:tcPr>
          <w:p w14:paraId="6F8BFF45" w14:textId="68205A6A" w:rsidR="006B3AB8" w:rsidRDefault="006B3AB8" w:rsidP="006B3AB8">
            <w:pPr>
              <w:spacing w:after="100"/>
            </w:pPr>
            <w:r>
              <w:t>Revista física</w:t>
            </w:r>
            <w:r w:rsidR="000A6A8D">
              <w:t>.</w:t>
            </w:r>
          </w:p>
        </w:tc>
        <w:tc>
          <w:tcPr>
            <w:tcW w:w="4250" w:type="dxa"/>
            <w:vAlign w:val="center"/>
          </w:tcPr>
          <w:p w14:paraId="68CCE8E2" w14:textId="72FADAB4" w:rsidR="006B3AB8" w:rsidRDefault="005B24B7" w:rsidP="00AD4B34">
            <w:pPr>
              <w:spacing w:after="100"/>
            </w:pPr>
            <w:r>
              <w:t>Ejecutar por lo menos una vez al año el pase de revista a jubilados y pensionados para verificar supervivencia y evitar pagos indebidos.</w:t>
            </w:r>
            <w:r w:rsidR="00C01EEE">
              <w:t xml:space="preserve"> </w:t>
            </w:r>
          </w:p>
        </w:tc>
      </w:tr>
      <w:tr w:rsidR="006B3AB8" w14:paraId="0D0786A1" w14:textId="77777777" w:rsidTr="002B4CB6">
        <w:tc>
          <w:tcPr>
            <w:tcW w:w="4244" w:type="dxa"/>
            <w:vAlign w:val="center"/>
          </w:tcPr>
          <w:p w14:paraId="1637E74A" w14:textId="0EC5F6D6" w:rsidR="006B3AB8" w:rsidRDefault="007E269A" w:rsidP="006B3AB8">
            <w:pPr>
              <w:spacing w:after="100"/>
            </w:pPr>
            <w:r>
              <w:t>Determinación de las reformas a la Ley de Pensiones</w:t>
            </w:r>
            <w:r w:rsidR="00B10E2F">
              <w:t>.</w:t>
            </w:r>
          </w:p>
        </w:tc>
        <w:tc>
          <w:tcPr>
            <w:tcW w:w="4250" w:type="dxa"/>
            <w:vAlign w:val="center"/>
          </w:tcPr>
          <w:p w14:paraId="79B0C1CB" w14:textId="51900502" w:rsidR="006B3AB8" w:rsidRDefault="007E269A" w:rsidP="00FA52D5">
            <w:pPr>
              <w:spacing w:after="100"/>
            </w:pPr>
            <w:r>
              <w:t xml:space="preserve">Presentar a las autoridades competentes una propuesta de reforma a la Ley de Pensiones para </w:t>
            </w:r>
            <w:r w:rsidR="00E0092E">
              <w:t>apoyar la sustentabilidad de los fondos.</w:t>
            </w:r>
          </w:p>
        </w:tc>
      </w:tr>
      <w:tr w:rsidR="00AD4B34" w14:paraId="0E27F76C" w14:textId="77777777" w:rsidTr="002B4CB6">
        <w:tc>
          <w:tcPr>
            <w:tcW w:w="4244" w:type="dxa"/>
            <w:vAlign w:val="center"/>
          </w:tcPr>
          <w:p w14:paraId="280A8618" w14:textId="3C397E75" w:rsidR="00AD4B34" w:rsidRDefault="00AD4B34" w:rsidP="006B3AB8">
            <w:pPr>
              <w:spacing w:after="100"/>
            </w:pPr>
            <w:r>
              <w:t>Atender en tiempo y forma los asuntos jurídicos en los que la Dirección de Pensiones forma parte</w:t>
            </w:r>
            <w:r w:rsidR="000A6A8D">
              <w:t>.</w:t>
            </w:r>
          </w:p>
        </w:tc>
        <w:tc>
          <w:tcPr>
            <w:tcW w:w="4250" w:type="dxa"/>
            <w:vAlign w:val="center"/>
          </w:tcPr>
          <w:p w14:paraId="36C712C6" w14:textId="680CD5DB" w:rsidR="00AD4B34" w:rsidRDefault="00AD4B34" w:rsidP="006B3AB8">
            <w:pPr>
              <w:spacing w:after="100"/>
            </w:pPr>
            <w:r>
              <w:t xml:space="preserve">Coordinar con </w:t>
            </w:r>
            <w:r w:rsidR="00E0092E">
              <w:t>los</w:t>
            </w:r>
            <w:r>
              <w:t xml:space="preserve"> despacho</w:t>
            </w:r>
            <w:r w:rsidR="00E0092E">
              <w:t>s</w:t>
            </w:r>
            <w:r>
              <w:t xml:space="preserve"> jurídico</w:t>
            </w:r>
            <w:r w:rsidR="00E0092E">
              <w:t>s</w:t>
            </w:r>
            <w:r>
              <w:t xml:space="preserve"> contratado</w:t>
            </w:r>
            <w:r w:rsidR="00E0092E">
              <w:t>s</w:t>
            </w:r>
            <w:r>
              <w:t xml:space="preserve"> por la Dirección de Pensiones la atención</w:t>
            </w:r>
            <w:r w:rsidR="007C588E">
              <w:t xml:space="preserve"> en tiempo y forma</w:t>
            </w:r>
            <w:r>
              <w:t xml:space="preserve"> de todos los procesos legales en los que la Dirección de Pensiones forma parte.</w:t>
            </w:r>
            <w:r w:rsidR="007C588E">
              <w:t xml:space="preserve"> El objetivo cumplir al 100% con las gestiones por parte de la Dirección para lograr el resultado esperado en cada uno de los casos. </w:t>
            </w:r>
          </w:p>
        </w:tc>
      </w:tr>
      <w:tr w:rsidR="003B0D5A" w14:paraId="71397AB9" w14:textId="77777777" w:rsidTr="003B0D5A">
        <w:tc>
          <w:tcPr>
            <w:tcW w:w="4244" w:type="dxa"/>
          </w:tcPr>
          <w:p w14:paraId="3BB96916" w14:textId="3D7A2AE7" w:rsidR="003B0D5A" w:rsidRDefault="00E0092E" w:rsidP="00B85FF0">
            <w:pPr>
              <w:spacing w:after="100"/>
            </w:pPr>
            <w:r>
              <w:lastRenderedPageBreak/>
              <w:t>Ejecutar</w:t>
            </w:r>
            <w:r w:rsidR="003B0D5A">
              <w:t xml:space="preserve"> la opción viable para el tratamiento de los inmuebles adjudicados a la Dirección de Pensiones.</w:t>
            </w:r>
          </w:p>
        </w:tc>
        <w:tc>
          <w:tcPr>
            <w:tcW w:w="4250" w:type="dxa"/>
          </w:tcPr>
          <w:p w14:paraId="53013ACC" w14:textId="3310D403" w:rsidR="003B0D5A" w:rsidRDefault="00E0092E" w:rsidP="00FA52D5">
            <w:pPr>
              <w:spacing w:after="100"/>
            </w:pPr>
            <w:r>
              <w:t>R</w:t>
            </w:r>
            <w:r w:rsidR="007C588E">
              <w:t>ealizar</w:t>
            </w:r>
            <w:r>
              <w:t xml:space="preserve"> el procedimiento adecuado para los bienes</w:t>
            </w:r>
            <w:r w:rsidR="007C588E">
              <w:t xml:space="preserve"> inmuebles que están adjudicados a la Dirección de Pensiones.</w:t>
            </w:r>
          </w:p>
        </w:tc>
      </w:tr>
    </w:tbl>
    <w:p w14:paraId="74C487F5" w14:textId="77777777" w:rsidR="006870F6" w:rsidRPr="007A6D2C" w:rsidRDefault="006870F6" w:rsidP="006870F6">
      <w:pPr>
        <w:spacing w:after="100" w:line="240" w:lineRule="auto"/>
        <w:jc w:val="both"/>
      </w:pPr>
    </w:p>
    <w:p w14:paraId="32A0A80F" w14:textId="780D8726" w:rsidR="00AD6C04" w:rsidRDefault="00B10E2F" w:rsidP="00AD6C04">
      <w:pPr>
        <w:spacing w:after="100" w:line="240" w:lineRule="auto"/>
        <w:jc w:val="center"/>
        <w:rPr>
          <w:b/>
        </w:rPr>
      </w:pPr>
      <w:r>
        <w:rPr>
          <w:b/>
        </w:rPr>
        <w:t>Á</w:t>
      </w:r>
      <w:r w:rsidR="00AD4B34">
        <w:rPr>
          <w:b/>
        </w:rPr>
        <w:t>REA</w:t>
      </w:r>
      <w:r w:rsidR="00AD6C04" w:rsidRPr="00983944">
        <w:rPr>
          <w:b/>
        </w:rPr>
        <w:t xml:space="preserve"> </w:t>
      </w:r>
      <w:r w:rsidR="00C70C22">
        <w:rPr>
          <w:b/>
        </w:rPr>
        <w:t>DE SERVICIOS ADMINISTRATIVOS</w:t>
      </w:r>
      <w:r w:rsidR="00AD6C04" w:rsidRPr="00983944">
        <w:rPr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AD6C04" w:rsidRPr="00983944" w14:paraId="563CEBA6" w14:textId="77777777" w:rsidTr="00B10E2F">
        <w:tc>
          <w:tcPr>
            <w:tcW w:w="4244" w:type="dxa"/>
          </w:tcPr>
          <w:p w14:paraId="585C0A36" w14:textId="77777777" w:rsidR="00AD6C04" w:rsidRPr="00983944" w:rsidRDefault="005548E0" w:rsidP="00B85FF0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>PROGRAMAS A DESARROLLAR</w:t>
            </w:r>
          </w:p>
        </w:tc>
        <w:tc>
          <w:tcPr>
            <w:tcW w:w="4250" w:type="dxa"/>
          </w:tcPr>
          <w:p w14:paraId="5E008D63" w14:textId="14C8FD05" w:rsidR="00AD6C04" w:rsidRPr="00983944" w:rsidRDefault="005548E0" w:rsidP="00B85FF0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 xml:space="preserve">METAS Y </w:t>
            </w:r>
            <w:r w:rsidR="00AD6C04" w:rsidRPr="00983944">
              <w:rPr>
                <w:b/>
              </w:rPr>
              <w:t>OBJETIVO</w:t>
            </w:r>
            <w:r>
              <w:rPr>
                <w:b/>
              </w:rPr>
              <w:t>S</w:t>
            </w:r>
            <w:r w:rsidR="00AD6C04" w:rsidRPr="00983944">
              <w:rPr>
                <w:b/>
              </w:rPr>
              <w:t xml:space="preserve"> 20</w:t>
            </w:r>
            <w:r w:rsidR="00B10E2F">
              <w:rPr>
                <w:b/>
              </w:rPr>
              <w:t>2</w:t>
            </w:r>
            <w:r w:rsidR="00E0092E">
              <w:rPr>
                <w:b/>
              </w:rPr>
              <w:t>5</w:t>
            </w:r>
          </w:p>
        </w:tc>
      </w:tr>
      <w:tr w:rsidR="002335EF" w14:paraId="225C9F68" w14:textId="77777777" w:rsidTr="00B10E2F">
        <w:tc>
          <w:tcPr>
            <w:tcW w:w="4244" w:type="dxa"/>
            <w:vAlign w:val="center"/>
          </w:tcPr>
          <w:p w14:paraId="7A293397" w14:textId="77777777" w:rsidR="002335EF" w:rsidRDefault="002335EF" w:rsidP="00B85FF0">
            <w:pPr>
              <w:spacing w:after="100"/>
            </w:pPr>
            <w:r>
              <w:t xml:space="preserve">Cobranza a Secretaría de Finanzas y Organismos Descentralizados </w:t>
            </w:r>
          </w:p>
        </w:tc>
        <w:tc>
          <w:tcPr>
            <w:tcW w:w="4250" w:type="dxa"/>
            <w:vAlign w:val="center"/>
          </w:tcPr>
          <w:p w14:paraId="19AD2477" w14:textId="4E9B137E" w:rsidR="002E2567" w:rsidRDefault="002335EF" w:rsidP="00AD4B34">
            <w:pPr>
              <w:spacing w:after="100"/>
            </w:pPr>
            <w:r>
              <w:t xml:space="preserve">Implementar acciones a fin de lograr </w:t>
            </w:r>
            <w:r w:rsidR="00F51C0B">
              <w:t xml:space="preserve">mayor eficiencia en </w:t>
            </w:r>
            <w:r>
              <w:t>el proceso de cobranza.</w:t>
            </w:r>
            <w:r w:rsidR="00F51C0B">
              <w:t xml:space="preserve"> </w:t>
            </w:r>
            <w:r w:rsidR="00556853">
              <w:t>Presentar ante las autoridades competentes las gestiones de cobro</w:t>
            </w:r>
            <w:r w:rsidR="00AD4B34">
              <w:t xml:space="preserve"> en tiempo y forma para evitar retrasos en los pagos a consecuencia de la presentación extemporánea de las </w:t>
            </w:r>
            <w:r w:rsidR="00556853">
              <w:t xml:space="preserve">mismas. </w:t>
            </w:r>
          </w:p>
        </w:tc>
      </w:tr>
      <w:tr w:rsidR="00AD6C04" w14:paraId="7853FA6F" w14:textId="77777777" w:rsidTr="00B10E2F">
        <w:tc>
          <w:tcPr>
            <w:tcW w:w="4244" w:type="dxa"/>
            <w:vAlign w:val="center"/>
          </w:tcPr>
          <w:p w14:paraId="565C18C5" w14:textId="04B52234" w:rsidR="00AD6C04" w:rsidRDefault="00C70C22" w:rsidP="00B85FF0">
            <w:pPr>
              <w:spacing w:after="100"/>
            </w:pPr>
            <w:r>
              <w:t>Capacitación a empleados</w:t>
            </w:r>
            <w:r w:rsidR="000A6A8D">
              <w:t>.</w:t>
            </w:r>
          </w:p>
        </w:tc>
        <w:tc>
          <w:tcPr>
            <w:tcW w:w="4250" w:type="dxa"/>
            <w:vAlign w:val="center"/>
          </w:tcPr>
          <w:p w14:paraId="262F1C0E" w14:textId="1684FE24" w:rsidR="00AD6C04" w:rsidRDefault="00F51C0B" w:rsidP="00F51C0B">
            <w:pPr>
              <w:spacing w:after="100"/>
            </w:pPr>
            <w:r>
              <w:t>D</w:t>
            </w:r>
            <w:r w:rsidR="00733185">
              <w:t>eterminación de capacitación por área</w:t>
            </w:r>
            <w:r>
              <w:t xml:space="preserve">. </w:t>
            </w:r>
            <w:r w:rsidR="00733185">
              <w:t>Aprovechar las oportunidades de capacitación propuestas por la Oficialía Mayor</w:t>
            </w:r>
            <w:r w:rsidR="00556853">
              <w:t>, siempre que éstas resulten benéficas en la productividad de los trabajadores.</w:t>
            </w:r>
            <w:r w:rsidR="00E0092E">
              <w:t xml:space="preserve"> Lograr el cumplimiento del 95% del Programa de Capacitación determinado</w:t>
            </w:r>
          </w:p>
        </w:tc>
      </w:tr>
      <w:tr w:rsidR="00AD6C04" w14:paraId="3B284B5A" w14:textId="77777777" w:rsidTr="00B10E2F">
        <w:tc>
          <w:tcPr>
            <w:tcW w:w="4244" w:type="dxa"/>
            <w:vAlign w:val="center"/>
          </w:tcPr>
          <w:p w14:paraId="48BB5AC0" w14:textId="33EDD43F" w:rsidR="00AD6C04" w:rsidRDefault="00C70C22" w:rsidP="00B85FF0">
            <w:pPr>
              <w:spacing w:after="100"/>
            </w:pPr>
            <w:r>
              <w:t>Ejecución del presupuesto</w:t>
            </w:r>
            <w:r w:rsidR="000A6A8D">
              <w:t>.</w:t>
            </w:r>
          </w:p>
        </w:tc>
        <w:tc>
          <w:tcPr>
            <w:tcW w:w="4250" w:type="dxa"/>
            <w:vAlign w:val="center"/>
          </w:tcPr>
          <w:p w14:paraId="56955D47" w14:textId="5286A45D" w:rsidR="00AD6C04" w:rsidRDefault="00C70C22" w:rsidP="00B85FF0">
            <w:pPr>
              <w:spacing w:after="100"/>
            </w:pPr>
            <w:r>
              <w:t>Observar las medidas de control interno necesarias para lograr la óptima ejecución del presupuesto, con la c</w:t>
            </w:r>
            <w:r w:rsidR="004E5BD3">
              <w:t>onsecuente rendición de cuentas, cumpliendo con el marco legal existente.</w:t>
            </w:r>
          </w:p>
        </w:tc>
      </w:tr>
      <w:tr w:rsidR="00B10E2F" w14:paraId="49266D92" w14:textId="77777777" w:rsidTr="00B10E2F">
        <w:tc>
          <w:tcPr>
            <w:tcW w:w="4244" w:type="dxa"/>
          </w:tcPr>
          <w:p w14:paraId="2ACAC817" w14:textId="77777777" w:rsidR="00B10E2F" w:rsidRDefault="00B10E2F" w:rsidP="00B10E2F">
            <w:pPr>
              <w:spacing w:after="100"/>
            </w:pPr>
          </w:p>
          <w:p w14:paraId="69B3D52B" w14:textId="77777777" w:rsidR="00556853" w:rsidRDefault="00556853" w:rsidP="00B10E2F">
            <w:pPr>
              <w:spacing w:after="100"/>
            </w:pPr>
          </w:p>
          <w:p w14:paraId="406AD7CC" w14:textId="6CC8AD78" w:rsidR="00B10E2F" w:rsidRDefault="00B10E2F" w:rsidP="00B10E2F">
            <w:pPr>
              <w:spacing w:after="100"/>
            </w:pPr>
            <w:r>
              <w:t>Atención de auditorías.</w:t>
            </w:r>
          </w:p>
        </w:tc>
        <w:tc>
          <w:tcPr>
            <w:tcW w:w="4250" w:type="dxa"/>
          </w:tcPr>
          <w:p w14:paraId="5DE584D9" w14:textId="0E83AE76" w:rsidR="00B10E2F" w:rsidRDefault="00B10E2F" w:rsidP="00B10E2F">
            <w:pPr>
              <w:spacing w:after="100"/>
            </w:pPr>
            <w:r>
              <w:t>Atender las ejecuciones de Auditorías que órganos fiscalizadores instruyan, proporcionando en tiempo y forma la documentación solicitada y atendiendo recomendaciones efectuadas a fin de logra</w:t>
            </w:r>
            <w:r w:rsidR="00556853">
              <w:t>r</w:t>
            </w:r>
            <w:r>
              <w:t xml:space="preserve"> un </w:t>
            </w:r>
            <w:r w:rsidR="00556853">
              <w:t>informe final sin observaciones pendientes por solventar.</w:t>
            </w:r>
          </w:p>
        </w:tc>
      </w:tr>
      <w:tr w:rsidR="005828D1" w14:paraId="00CA2CD7" w14:textId="77777777" w:rsidTr="005828D1">
        <w:tc>
          <w:tcPr>
            <w:tcW w:w="4244" w:type="dxa"/>
          </w:tcPr>
          <w:p w14:paraId="07EE2371" w14:textId="20F190B5" w:rsidR="005828D1" w:rsidRDefault="005828D1" w:rsidP="00FF0531">
            <w:pPr>
              <w:spacing w:after="100"/>
            </w:pPr>
            <w:r>
              <w:t xml:space="preserve">Celebración de sesiones del Comité de </w:t>
            </w:r>
            <w:r w:rsidR="00E0092E">
              <w:t>Adquisiciones</w:t>
            </w:r>
            <w:r>
              <w:t xml:space="preserve"> y Comité de </w:t>
            </w:r>
            <w:r w:rsidR="0023459B">
              <w:t>Ética y Prevención de Conflictos de Interés</w:t>
            </w:r>
          </w:p>
        </w:tc>
        <w:tc>
          <w:tcPr>
            <w:tcW w:w="4250" w:type="dxa"/>
          </w:tcPr>
          <w:p w14:paraId="55D25315" w14:textId="49622280" w:rsidR="005828D1" w:rsidRDefault="005828D1" w:rsidP="00FF0531">
            <w:pPr>
              <w:spacing w:after="100"/>
            </w:pPr>
            <w:r>
              <w:t>Atender al 100% las disposiciones de la normatividad vigente en materia de adquisiciones y de</w:t>
            </w:r>
            <w:r w:rsidR="00B3717D">
              <w:t xml:space="preserve"> ética y prevención de conflictos de interés</w:t>
            </w:r>
            <w:r w:rsidR="0023459B">
              <w:t>.</w:t>
            </w:r>
          </w:p>
        </w:tc>
      </w:tr>
    </w:tbl>
    <w:p w14:paraId="1EDCA1A7" w14:textId="77777777" w:rsidR="00AD6C04" w:rsidRPr="007A6D2C" w:rsidRDefault="00AD6C04" w:rsidP="00AD6C04">
      <w:pPr>
        <w:spacing w:after="100" w:line="240" w:lineRule="auto"/>
        <w:jc w:val="both"/>
      </w:pPr>
    </w:p>
    <w:p w14:paraId="1132527F" w14:textId="15AAD96D" w:rsidR="00C70C22" w:rsidRDefault="00AD4B34" w:rsidP="00C70C22">
      <w:pPr>
        <w:spacing w:after="100" w:line="240" w:lineRule="auto"/>
        <w:jc w:val="center"/>
        <w:rPr>
          <w:b/>
        </w:rPr>
      </w:pPr>
      <w:r>
        <w:rPr>
          <w:b/>
        </w:rPr>
        <w:t>ÁREA</w:t>
      </w:r>
      <w:r w:rsidR="00C70C22" w:rsidRPr="00983944">
        <w:rPr>
          <w:b/>
        </w:rPr>
        <w:t xml:space="preserve"> </w:t>
      </w:r>
      <w:r w:rsidR="00C70C22">
        <w:rPr>
          <w:b/>
        </w:rPr>
        <w:t>DE INFORMATICA</w:t>
      </w:r>
      <w:r w:rsidR="00C70C22" w:rsidRPr="00983944">
        <w:rPr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1"/>
        <w:gridCol w:w="4243"/>
      </w:tblGrid>
      <w:tr w:rsidR="00F51C0B" w:rsidRPr="00983944" w14:paraId="4A8A9155" w14:textId="77777777" w:rsidTr="00F51C0B">
        <w:tc>
          <w:tcPr>
            <w:tcW w:w="4251" w:type="dxa"/>
          </w:tcPr>
          <w:p w14:paraId="529388E9" w14:textId="77777777" w:rsidR="00C70C22" w:rsidRPr="00983944" w:rsidRDefault="005548E0" w:rsidP="00B85FF0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>PROGRAMAS A DESARROLLAR</w:t>
            </w:r>
          </w:p>
        </w:tc>
        <w:tc>
          <w:tcPr>
            <w:tcW w:w="4243" w:type="dxa"/>
          </w:tcPr>
          <w:p w14:paraId="00F82405" w14:textId="0954A387" w:rsidR="00C70C22" w:rsidRPr="00983944" w:rsidRDefault="005548E0" w:rsidP="00B85FF0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 xml:space="preserve">METAS Y </w:t>
            </w:r>
            <w:r w:rsidR="00F64AD9">
              <w:rPr>
                <w:b/>
              </w:rPr>
              <w:t>OBJETIVO</w:t>
            </w:r>
            <w:r>
              <w:rPr>
                <w:b/>
              </w:rPr>
              <w:t>S</w:t>
            </w:r>
            <w:r w:rsidR="00F64AD9">
              <w:rPr>
                <w:b/>
              </w:rPr>
              <w:t xml:space="preserve"> 20</w:t>
            </w:r>
            <w:r w:rsidR="004E5BD3">
              <w:rPr>
                <w:b/>
              </w:rPr>
              <w:t>2</w:t>
            </w:r>
            <w:r w:rsidR="00E0092E">
              <w:rPr>
                <w:b/>
              </w:rPr>
              <w:t>5</w:t>
            </w:r>
          </w:p>
        </w:tc>
      </w:tr>
      <w:tr w:rsidR="00F51C0B" w14:paraId="470F3F73" w14:textId="77777777" w:rsidTr="00F51C0B">
        <w:tc>
          <w:tcPr>
            <w:tcW w:w="4251" w:type="dxa"/>
            <w:vAlign w:val="center"/>
          </w:tcPr>
          <w:p w14:paraId="40F64897" w14:textId="3A314503" w:rsidR="00C70C22" w:rsidRDefault="0037591A" w:rsidP="00B85FF0">
            <w:pPr>
              <w:spacing w:after="100"/>
            </w:pPr>
            <w:r>
              <w:t>Administración de los sistemas y servicios de cómputo.</w:t>
            </w:r>
          </w:p>
        </w:tc>
        <w:tc>
          <w:tcPr>
            <w:tcW w:w="4243" w:type="dxa"/>
            <w:vAlign w:val="center"/>
          </w:tcPr>
          <w:p w14:paraId="434B9E93" w14:textId="511BD21C" w:rsidR="00C70C22" w:rsidRDefault="0037591A" w:rsidP="0037591A">
            <w:pPr>
              <w:spacing w:after="100"/>
            </w:pPr>
            <w:r>
              <w:t xml:space="preserve">Administrar los servicios de internet, antivirus y los necesarios para el buen funcionamiento y rendimiento de los </w:t>
            </w:r>
            <w:r>
              <w:lastRenderedPageBreak/>
              <w:t xml:space="preserve">equipos de cómputo, así como la administración de los servidores para el óptimo funcionamiento de los mismos, con lo que se evita </w:t>
            </w:r>
            <w:r w:rsidR="00EF368F">
              <w:t xml:space="preserve">contratiempos que </w:t>
            </w:r>
            <w:r>
              <w:t>ponen</w:t>
            </w:r>
            <w:r w:rsidR="00EF368F">
              <w:t xml:space="preserve"> en riesgo la ejecución cotidiana de actividades.</w:t>
            </w:r>
          </w:p>
        </w:tc>
      </w:tr>
      <w:tr w:rsidR="0037591A" w14:paraId="4FA1293F" w14:textId="77777777" w:rsidTr="00F51C0B">
        <w:tc>
          <w:tcPr>
            <w:tcW w:w="4251" w:type="dxa"/>
            <w:vAlign w:val="center"/>
          </w:tcPr>
          <w:p w14:paraId="324993C8" w14:textId="74B83DE2" w:rsidR="0037591A" w:rsidRDefault="0037591A" w:rsidP="00B85FF0">
            <w:pPr>
              <w:spacing w:after="100"/>
            </w:pPr>
            <w:r>
              <w:lastRenderedPageBreak/>
              <w:t>Vaciado de aportaciones a la Base de Datos</w:t>
            </w:r>
          </w:p>
        </w:tc>
        <w:tc>
          <w:tcPr>
            <w:tcW w:w="4243" w:type="dxa"/>
            <w:vAlign w:val="center"/>
          </w:tcPr>
          <w:p w14:paraId="4BB73CB8" w14:textId="637E993A" w:rsidR="0037591A" w:rsidRDefault="0037591A" w:rsidP="0037591A">
            <w:pPr>
              <w:spacing w:after="100"/>
            </w:pPr>
            <w:r>
              <w:t xml:space="preserve">Integración a la base de datos de los descuentos por cuota de pensiones y préstamos efectuados a los trabajadores del Gobierno del Estado con base a la información proporcionada por las entidades pagadoras. Esta información deberá estar integrada a más tardar el día 10 del siguiente mes en el que se genere, sin </w:t>
            </w:r>
            <w:proofErr w:type="gramStart"/>
            <w:r>
              <w:t>embargo</w:t>
            </w:r>
            <w:proofErr w:type="gramEnd"/>
            <w:r>
              <w:t xml:space="preserve"> el cumplimiento está condicionado a la entrega oportuna por parte de las entidades.  </w:t>
            </w:r>
          </w:p>
        </w:tc>
      </w:tr>
      <w:tr w:rsidR="0037591A" w14:paraId="79DC3455" w14:textId="77777777" w:rsidTr="00F51C0B">
        <w:tc>
          <w:tcPr>
            <w:tcW w:w="4251" w:type="dxa"/>
            <w:vAlign w:val="center"/>
          </w:tcPr>
          <w:p w14:paraId="5EC1D2F3" w14:textId="65217B0E" w:rsidR="0037591A" w:rsidRDefault="0037591A" w:rsidP="00B85FF0">
            <w:pPr>
              <w:spacing w:after="100"/>
            </w:pPr>
            <w:r>
              <w:t>Generación de archivos para aplicación de descuentos a derechohabientes domiciliados en Banorte por préstamos otorgados por la Dirección de Pensiones.</w:t>
            </w:r>
          </w:p>
        </w:tc>
        <w:tc>
          <w:tcPr>
            <w:tcW w:w="4243" w:type="dxa"/>
            <w:vAlign w:val="center"/>
          </w:tcPr>
          <w:p w14:paraId="4CC698AE" w14:textId="3EDFBC2A" w:rsidR="0037591A" w:rsidRDefault="0037591A" w:rsidP="0037591A">
            <w:pPr>
              <w:spacing w:after="100"/>
            </w:pPr>
            <w:r>
              <w:t>Generar quincenalmente los archivos para la ejecución de los descuentos directamente en la cuenta de nómina Banorte de los trabajadores por préstamos otorgados por la Dirección de Pensiones.</w:t>
            </w:r>
          </w:p>
        </w:tc>
      </w:tr>
      <w:tr w:rsidR="00F51C0B" w14:paraId="723B7AB8" w14:textId="77777777" w:rsidTr="00F51C0B">
        <w:tc>
          <w:tcPr>
            <w:tcW w:w="4251" w:type="dxa"/>
            <w:vAlign w:val="center"/>
          </w:tcPr>
          <w:p w14:paraId="2F01F4A6" w14:textId="042653AB" w:rsidR="00C70C22" w:rsidRDefault="00EF368F" w:rsidP="00B85FF0">
            <w:pPr>
              <w:spacing w:after="100"/>
            </w:pPr>
            <w:r>
              <w:t xml:space="preserve">Coordinar las actividades del </w:t>
            </w:r>
            <w:r w:rsidR="0023459B">
              <w:t>C</w:t>
            </w:r>
            <w:r>
              <w:t xml:space="preserve">omité de </w:t>
            </w:r>
            <w:r w:rsidR="0023459B">
              <w:t>C</w:t>
            </w:r>
            <w:r>
              <w:t>alidad</w:t>
            </w:r>
            <w:r w:rsidR="00895FC1">
              <w:t xml:space="preserve"> y del Comité de Control y Desempeño Institucional.</w:t>
            </w:r>
          </w:p>
        </w:tc>
        <w:tc>
          <w:tcPr>
            <w:tcW w:w="4243" w:type="dxa"/>
            <w:vAlign w:val="center"/>
          </w:tcPr>
          <w:p w14:paraId="79133DEC" w14:textId="32BE3967" w:rsidR="00C70C22" w:rsidRDefault="00EF368F" w:rsidP="003C6416">
            <w:pPr>
              <w:spacing w:after="100"/>
            </w:pPr>
            <w:r>
              <w:t xml:space="preserve">Cumplimiento </w:t>
            </w:r>
            <w:r w:rsidR="003C6416">
              <w:t>d</w:t>
            </w:r>
            <w:r>
              <w:t xml:space="preserve">e los programas implementados en el </w:t>
            </w:r>
            <w:r w:rsidR="0023459B">
              <w:t>S</w:t>
            </w:r>
            <w:r>
              <w:t xml:space="preserve">istema de </w:t>
            </w:r>
            <w:r w:rsidR="0023459B">
              <w:t>G</w:t>
            </w:r>
            <w:r>
              <w:t xml:space="preserve">estión de la </w:t>
            </w:r>
            <w:r w:rsidR="0023459B">
              <w:t>C</w:t>
            </w:r>
            <w:r>
              <w:t>alidad</w:t>
            </w:r>
            <w:r w:rsidR="00895FC1">
              <w:t>, así como con la normativa en relación al Control Interno, determinación y atención de riesgos.</w:t>
            </w:r>
          </w:p>
        </w:tc>
      </w:tr>
      <w:tr w:rsidR="00F51C0B" w14:paraId="3E8E2770" w14:textId="77777777" w:rsidTr="00F51C0B">
        <w:tc>
          <w:tcPr>
            <w:tcW w:w="4251" w:type="dxa"/>
            <w:vAlign w:val="center"/>
          </w:tcPr>
          <w:p w14:paraId="2FE54F30" w14:textId="2D82B567" w:rsidR="00A47FC6" w:rsidRDefault="00F51C0B" w:rsidP="0006426D">
            <w:pPr>
              <w:spacing w:after="100"/>
            </w:pPr>
            <w:r>
              <w:t>Atención de requerimientos de sistemas y modificación a los mismos.</w:t>
            </w:r>
          </w:p>
        </w:tc>
        <w:tc>
          <w:tcPr>
            <w:tcW w:w="4243" w:type="dxa"/>
            <w:vAlign w:val="center"/>
          </w:tcPr>
          <w:p w14:paraId="0B1BA4CE" w14:textId="18EC23C8" w:rsidR="00A47FC6" w:rsidRDefault="00F51C0B" w:rsidP="00B85FF0">
            <w:pPr>
              <w:spacing w:after="100"/>
            </w:pPr>
            <w:r>
              <w:t>Realizar las modificaciones a los sistemas que soliciten las áreas de la Dirección para mejorarlos o bien para incorporar nuevos requerimientos. Analizar la</w:t>
            </w:r>
            <w:r w:rsidR="005367A9">
              <w:t>s</w:t>
            </w:r>
            <w:r>
              <w:t xml:space="preserve"> solicitudes de nuevos sistemas para determinar su viabilidad y programar su implementación.</w:t>
            </w:r>
          </w:p>
        </w:tc>
      </w:tr>
      <w:tr w:rsidR="00F51C0B" w14:paraId="224B2E35" w14:textId="77777777" w:rsidTr="00F51C0B">
        <w:tc>
          <w:tcPr>
            <w:tcW w:w="4251" w:type="dxa"/>
            <w:vAlign w:val="center"/>
          </w:tcPr>
          <w:p w14:paraId="6E8BBACB" w14:textId="32F0AA49" w:rsidR="00A27A8D" w:rsidRDefault="0006426D" w:rsidP="0006426D">
            <w:pPr>
              <w:spacing w:after="100"/>
            </w:pPr>
            <w:r>
              <w:t>Atención a usuarios</w:t>
            </w:r>
            <w:r w:rsidR="000A6A8D">
              <w:t>.</w:t>
            </w:r>
          </w:p>
        </w:tc>
        <w:tc>
          <w:tcPr>
            <w:tcW w:w="4243" w:type="dxa"/>
            <w:vAlign w:val="center"/>
          </w:tcPr>
          <w:p w14:paraId="0189E60D" w14:textId="77777777" w:rsidR="00A27A8D" w:rsidRDefault="0006426D" w:rsidP="00B85FF0">
            <w:pPr>
              <w:spacing w:after="100"/>
            </w:pPr>
            <w:r>
              <w:t>Lograr que los usuarios de los equipos y sistemas de la DPE no tengan contratiempos durante la ejecución de actividades.</w:t>
            </w:r>
          </w:p>
        </w:tc>
      </w:tr>
    </w:tbl>
    <w:p w14:paraId="047FECB2" w14:textId="77777777" w:rsidR="003C6416" w:rsidRDefault="003C6416" w:rsidP="003C6416">
      <w:pPr>
        <w:spacing w:after="100" w:line="240" w:lineRule="auto"/>
      </w:pPr>
    </w:p>
    <w:p w14:paraId="5E4F429E" w14:textId="2A5E18CA" w:rsidR="00EF6EF7" w:rsidRDefault="005367A9" w:rsidP="00EF6EF7">
      <w:pPr>
        <w:spacing w:after="100" w:line="240" w:lineRule="auto"/>
        <w:jc w:val="center"/>
        <w:rPr>
          <w:b/>
        </w:rPr>
      </w:pPr>
      <w:r>
        <w:rPr>
          <w:b/>
        </w:rPr>
        <w:t>ÁRE</w:t>
      </w:r>
      <w:r w:rsidR="00D1740F">
        <w:rPr>
          <w:b/>
        </w:rPr>
        <w:t>A</w:t>
      </w:r>
      <w:r w:rsidR="00EF6EF7" w:rsidRPr="00983944">
        <w:rPr>
          <w:b/>
        </w:rPr>
        <w:t xml:space="preserve"> </w:t>
      </w:r>
      <w:r w:rsidR="00EF6EF7">
        <w:rPr>
          <w:b/>
        </w:rPr>
        <w:t>DE ESTACIONAMIENTO, INTENDENCIA Y VIGILANCIA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F6EF7" w:rsidRPr="00983944" w14:paraId="24069B76" w14:textId="77777777" w:rsidTr="00B85FF0">
        <w:tc>
          <w:tcPr>
            <w:tcW w:w="4322" w:type="dxa"/>
          </w:tcPr>
          <w:p w14:paraId="21BBA308" w14:textId="77777777" w:rsidR="00EF6EF7" w:rsidRPr="00983944" w:rsidRDefault="005548E0" w:rsidP="00B85FF0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>PROGRAMAS A DESARROLLAR</w:t>
            </w:r>
          </w:p>
        </w:tc>
        <w:tc>
          <w:tcPr>
            <w:tcW w:w="4322" w:type="dxa"/>
          </w:tcPr>
          <w:p w14:paraId="366A3882" w14:textId="1D3DD129" w:rsidR="00EF6EF7" w:rsidRPr="00983944" w:rsidRDefault="005548E0" w:rsidP="00B85FF0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 xml:space="preserve">METAS Y </w:t>
            </w:r>
            <w:r w:rsidR="00F64AD9">
              <w:rPr>
                <w:b/>
              </w:rPr>
              <w:t>OBJETIVO</w:t>
            </w:r>
            <w:r>
              <w:rPr>
                <w:b/>
              </w:rPr>
              <w:t>S</w:t>
            </w:r>
            <w:r w:rsidR="00F64AD9">
              <w:rPr>
                <w:b/>
              </w:rPr>
              <w:t xml:space="preserve"> 20</w:t>
            </w:r>
            <w:r w:rsidR="00880B01">
              <w:rPr>
                <w:b/>
              </w:rPr>
              <w:t>2</w:t>
            </w:r>
            <w:r w:rsidR="00E0092E">
              <w:rPr>
                <w:b/>
              </w:rPr>
              <w:t>5</w:t>
            </w:r>
          </w:p>
        </w:tc>
      </w:tr>
      <w:tr w:rsidR="00EF6EF7" w14:paraId="2B794549" w14:textId="77777777" w:rsidTr="00B85FF0">
        <w:tc>
          <w:tcPr>
            <w:tcW w:w="4322" w:type="dxa"/>
            <w:vAlign w:val="center"/>
          </w:tcPr>
          <w:p w14:paraId="2C86B53E" w14:textId="77777777" w:rsidR="00EF6EF7" w:rsidRDefault="00EF6EF7" w:rsidP="003C6416">
            <w:pPr>
              <w:spacing w:after="100"/>
            </w:pPr>
            <w:r>
              <w:t xml:space="preserve">Mantenimiento del edificio de la </w:t>
            </w:r>
            <w:r w:rsidR="003C6416">
              <w:t xml:space="preserve">Dirección de Pensiones. </w:t>
            </w:r>
          </w:p>
        </w:tc>
        <w:tc>
          <w:tcPr>
            <w:tcW w:w="4322" w:type="dxa"/>
            <w:vAlign w:val="center"/>
          </w:tcPr>
          <w:p w14:paraId="46E3C7EA" w14:textId="77777777" w:rsidR="00EF6EF7" w:rsidRDefault="00EF6EF7" w:rsidP="003C6416">
            <w:pPr>
              <w:spacing w:after="100"/>
            </w:pPr>
            <w:r>
              <w:t>Realizar las actividades tendientes a la conservación en óptimas condiciones del edificio de la D</w:t>
            </w:r>
            <w:r w:rsidR="003C6416">
              <w:t>irección de Pensiones,</w:t>
            </w:r>
            <w:r>
              <w:t xml:space="preserve"> patrimonio de los derechohabientes.</w:t>
            </w:r>
          </w:p>
        </w:tc>
      </w:tr>
      <w:tr w:rsidR="00EF6EF7" w14:paraId="16E05A9C" w14:textId="77777777" w:rsidTr="00B85FF0">
        <w:tc>
          <w:tcPr>
            <w:tcW w:w="4322" w:type="dxa"/>
            <w:vAlign w:val="center"/>
          </w:tcPr>
          <w:p w14:paraId="6663BCDC" w14:textId="77777777" w:rsidR="00EF6EF7" w:rsidRDefault="00EF6EF7" w:rsidP="003C6416">
            <w:pPr>
              <w:spacing w:after="100"/>
            </w:pPr>
            <w:r>
              <w:lastRenderedPageBreak/>
              <w:t xml:space="preserve">Ingresos por </w:t>
            </w:r>
            <w:r w:rsidR="003C6416">
              <w:t xml:space="preserve">arrendamiento de estacionamiento, locales y despachos del edificio. </w:t>
            </w:r>
          </w:p>
        </w:tc>
        <w:tc>
          <w:tcPr>
            <w:tcW w:w="4322" w:type="dxa"/>
            <w:vAlign w:val="center"/>
          </w:tcPr>
          <w:p w14:paraId="1B513EBB" w14:textId="77777777" w:rsidR="00EF6EF7" w:rsidRDefault="00EF6EF7" w:rsidP="00F317DD">
            <w:pPr>
              <w:spacing w:after="100"/>
            </w:pPr>
            <w:r>
              <w:t xml:space="preserve">Establecer </w:t>
            </w:r>
            <w:r w:rsidR="00F317DD">
              <w:t xml:space="preserve">las políticas y </w:t>
            </w:r>
            <w:r>
              <w:t xml:space="preserve">tarifas </w:t>
            </w:r>
            <w:proofErr w:type="gramStart"/>
            <w:r>
              <w:t>adecuadas  que</w:t>
            </w:r>
            <w:proofErr w:type="gramEnd"/>
            <w:r>
              <w:t xml:space="preserve"> permitan maximizar los ingresos obtenidos por la renta del estacionamiento.</w:t>
            </w:r>
          </w:p>
        </w:tc>
      </w:tr>
      <w:tr w:rsidR="00EF6EF7" w14:paraId="56D93A41" w14:textId="77777777" w:rsidTr="00B85FF0">
        <w:tc>
          <w:tcPr>
            <w:tcW w:w="4322" w:type="dxa"/>
            <w:vAlign w:val="center"/>
          </w:tcPr>
          <w:p w14:paraId="3800E1DF" w14:textId="55C18025" w:rsidR="00EF6EF7" w:rsidRPr="00EF6EF7" w:rsidRDefault="00EF6EF7" w:rsidP="00B85FF0">
            <w:pPr>
              <w:spacing w:after="100"/>
            </w:pPr>
            <w:r>
              <w:t>Vigilancia de instalaciones</w:t>
            </w:r>
            <w:r w:rsidR="000A6A8D">
              <w:t>.</w:t>
            </w:r>
          </w:p>
        </w:tc>
        <w:tc>
          <w:tcPr>
            <w:tcW w:w="4322" w:type="dxa"/>
            <w:vAlign w:val="center"/>
          </w:tcPr>
          <w:p w14:paraId="14E601A1" w14:textId="77777777" w:rsidR="00EF6EF7" w:rsidRDefault="00EF6EF7" w:rsidP="003C6416">
            <w:pPr>
              <w:spacing w:after="100"/>
            </w:pPr>
            <w:r>
              <w:t xml:space="preserve">Realizar las actividades necesarias para </w:t>
            </w:r>
            <w:r w:rsidR="00586C48">
              <w:t>garantizar la integridad de las instalaciones</w:t>
            </w:r>
            <w:r w:rsidR="003C6416">
              <w:t xml:space="preserve"> y la seguridad del personal de la Dirección de Pensiones. </w:t>
            </w:r>
          </w:p>
        </w:tc>
      </w:tr>
    </w:tbl>
    <w:p w14:paraId="669CB55D" w14:textId="77777777" w:rsidR="00EF6EF7" w:rsidRDefault="00EF6EF7" w:rsidP="00A51C60">
      <w:pPr>
        <w:spacing w:after="100" w:line="240" w:lineRule="auto"/>
        <w:jc w:val="both"/>
      </w:pPr>
    </w:p>
    <w:p w14:paraId="3F380191" w14:textId="321E983F" w:rsidR="00881826" w:rsidRDefault="00881826" w:rsidP="00881826">
      <w:pPr>
        <w:spacing w:after="100" w:line="240" w:lineRule="auto"/>
        <w:jc w:val="center"/>
        <w:rPr>
          <w:b/>
        </w:rPr>
      </w:pPr>
      <w:r>
        <w:rPr>
          <w:b/>
        </w:rPr>
        <w:t xml:space="preserve">UNIDAD DE </w:t>
      </w:r>
      <w:r w:rsidR="00880B01">
        <w:rPr>
          <w:b/>
        </w:rPr>
        <w:t>TRANSPARENCIA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81826" w:rsidRPr="00983944" w14:paraId="01319386" w14:textId="77777777" w:rsidTr="00B85FF0">
        <w:tc>
          <w:tcPr>
            <w:tcW w:w="4322" w:type="dxa"/>
          </w:tcPr>
          <w:p w14:paraId="62A0FB1B" w14:textId="77777777" w:rsidR="00881826" w:rsidRPr="00983944" w:rsidRDefault="00881826" w:rsidP="00B85FF0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>PROGRAMAS A DESARROLLAR</w:t>
            </w:r>
          </w:p>
        </w:tc>
        <w:tc>
          <w:tcPr>
            <w:tcW w:w="4322" w:type="dxa"/>
          </w:tcPr>
          <w:p w14:paraId="54CE1612" w14:textId="475D8237" w:rsidR="00881826" w:rsidRPr="00983944" w:rsidRDefault="00881826" w:rsidP="00B85FF0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>METAS Y OBJETIVOS 20</w:t>
            </w:r>
            <w:r w:rsidR="00880B01">
              <w:rPr>
                <w:b/>
              </w:rPr>
              <w:t>2</w:t>
            </w:r>
            <w:r w:rsidR="00E0092E">
              <w:rPr>
                <w:b/>
              </w:rPr>
              <w:t>5</w:t>
            </w:r>
          </w:p>
        </w:tc>
      </w:tr>
      <w:tr w:rsidR="00881826" w14:paraId="3C91FBB2" w14:textId="77777777" w:rsidTr="00B85FF0">
        <w:tc>
          <w:tcPr>
            <w:tcW w:w="4322" w:type="dxa"/>
            <w:vAlign w:val="center"/>
          </w:tcPr>
          <w:p w14:paraId="65F52D21" w14:textId="7B5DEC2C" w:rsidR="00881826" w:rsidRDefault="00881826" w:rsidP="00B85FF0">
            <w:pPr>
              <w:spacing w:after="100"/>
            </w:pPr>
            <w:r>
              <w:t>Actualización del portal de transparencia</w:t>
            </w:r>
            <w:r w:rsidR="000A6A8D">
              <w:t>.</w:t>
            </w:r>
            <w:r>
              <w:t xml:space="preserve"> </w:t>
            </w:r>
          </w:p>
        </w:tc>
        <w:tc>
          <w:tcPr>
            <w:tcW w:w="4322" w:type="dxa"/>
            <w:vAlign w:val="center"/>
          </w:tcPr>
          <w:p w14:paraId="09D146B3" w14:textId="677B2667" w:rsidR="00881826" w:rsidRDefault="00881826" w:rsidP="00880B01">
            <w:pPr>
              <w:spacing w:after="100"/>
            </w:pPr>
            <w:r>
              <w:t>Lograr el 100% de cumplimiento a la obligación de p</w:t>
            </w:r>
            <w:r w:rsidR="00880B01">
              <w:t>ublicación de información en las plataformas Estatal y Nacional</w:t>
            </w:r>
            <w:r>
              <w:t>.</w:t>
            </w:r>
          </w:p>
        </w:tc>
      </w:tr>
      <w:tr w:rsidR="00D1740F" w14:paraId="1056B040" w14:textId="77777777" w:rsidTr="00B85FF0">
        <w:tc>
          <w:tcPr>
            <w:tcW w:w="4322" w:type="dxa"/>
            <w:vAlign w:val="center"/>
          </w:tcPr>
          <w:p w14:paraId="5D6DA4F7" w14:textId="5D3A40EE" w:rsidR="00D1740F" w:rsidRDefault="00D1740F" w:rsidP="00B85FF0">
            <w:pPr>
              <w:spacing w:after="100"/>
            </w:pPr>
            <w:r>
              <w:t>Atención de solicitudes de información</w:t>
            </w:r>
            <w:r w:rsidR="000A6A8D">
              <w:t>.</w:t>
            </w:r>
          </w:p>
        </w:tc>
        <w:tc>
          <w:tcPr>
            <w:tcW w:w="4322" w:type="dxa"/>
            <w:vAlign w:val="center"/>
          </w:tcPr>
          <w:p w14:paraId="525E8D11" w14:textId="0232D10D" w:rsidR="00D1740F" w:rsidRDefault="00D1740F" w:rsidP="00881826">
            <w:pPr>
              <w:spacing w:after="100"/>
            </w:pPr>
            <w:r>
              <w:t>Atender en tiempo y forma las solicitudes de información que reciba la Dirección de Pensiones, evitando la emisión de sanciones por incumplimiento.</w:t>
            </w:r>
          </w:p>
        </w:tc>
      </w:tr>
      <w:tr w:rsidR="00D1740F" w14:paraId="3263F140" w14:textId="77777777" w:rsidTr="00B85FF0">
        <w:tc>
          <w:tcPr>
            <w:tcW w:w="4322" w:type="dxa"/>
            <w:vAlign w:val="center"/>
          </w:tcPr>
          <w:p w14:paraId="479D5DF8" w14:textId="1ED9C880" w:rsidR="00D1740F" w:rsidRDefault="00D1740F" w:rsidP="00B85FF0">
            <w:pPr>
              <w:spacing w:after="100"/>
            </w:pPr>
            <w:r>
              <w:t>Atención de Observaciones y Sugerencias emitidas por el Órgano Garante</w:t>
            </w:r>
            <w:r w:rsidR="000A6A8D">
              <w:t>.</w:t>
            </w:r>
          </w:p>
        </w:tc>
        <w:tc>
          <w:tcPr>
            <w:tcW w:w="4322" w:type="dxa"/>
            <w:vAlign w:val="center"/>
          </w:tcPr>
          <w:p w14:paraId="7B2AC211" w14:textId="35911C6E" w:rsidR="00D1740F" w:rsidRDefault="00D1740F" w:rsidP="00881826">
            <w:pPr>
              <w:spacing w:after="100"/>
            </w:pPr>
            <w:r>
              <w:t>Atender en tiempo y forma las observaciones que resulten de las verificaciones que realice la CEGAIP y la Contraloría General del Estado</w:t>
            </w:r>
          </w:p>
        </w:tc>
      </w:tr>
      <w:tr w:rsidR="00881826" w14:paraId="5AFCDD95" w14:textId="77777777" w:rsidTr="00B85FF0">
        <w:tc>
          <w:tcPr>
            <w:tcW w:w="4322" w:type="dxa"/>
            <w:vAlign w:val="center"/>
          </w:tcPr>
          <w:p w14:paraId="4771BE1F" w14:textId="23ED8867" w:rsidR="00881826" w:rsidRDefault="00881826" w:rsidP="00B85FF0">
            <w:pPr>
              <w:spacing w:after="100"/>
            </w:pPr>
            <w:r>
              <w:t>Capacitación en reformas a la Ley de Transparencia y legislación aplicable</w:t>
            </w:r>
            <w:r w:rsidR="000A6A8D">
              <w:t>.</w:t>
            </w:r>
            <w:r>
              <w:t xml:space="preserve"> </w:t>
            </w:r>
          </w:p>
        </w:tc>
        <w:tc>
          <w:tcPr>
            <w:tcW w:w="4322" w:type="dxa"/>
            <w:vAlign w:val="center"/>
          </w:tcPr>
          <w:p w14:paraId="719778A9" w14:textId="77777777" w:rsidR="00881826" w:rsidRDefault="00881826" w:rsidP="00881826">
            <w:pPr>
              <w:spacing w:after="100"/>
            </w:pPr>
            <w:r>
              <w:t>Asistir a capacitación para el conocimiento de las reformas que en la materia se impulsen</w:t>
            </w:r>
            <w:r w:rsidR="007F48C2">
              <w:t>, y trasmitir dicha capacitación a todo el personal.</w:t>
            </w:r>
          </w:p>
        </w:tc>
      </w:tr>
      <w:tr w:rsidR="00881826" w14:paraId="2789C7AC" w14:textId="77777777" w:rsidTr="00B85FF0">
        <w:tc>
          <w:tcPr>
            <w:tcW w:w="4322" w:type="dxa"/>
            <w:vAlign w:val="center"/>
          </w:tcPr>
          <w:p w14:paraId="31CD9670" w14:textId="6A96B035" w:rsidR="00881826" w:rsidRPr="00EF6EF7" w:rsidRDefault="00881826" w:rsidP="00B85FF0">
            <w:pPr>
              <w:spacing w:after="100"/>
            </w:pPr>
            <w:r>
              <w:t>Control en el manejo de datos personales</w:t>
            </w:r>
            <w:r w:rsidR="000A6A8D">
              <w:t>.</w:t>
            </w:r>
          </w:p>
        </w:tc>
        <w:tc>
          <w:tcPr>
            <w:tcW w:w="4322" w:type="dxa"/>
            <w:vAlign w:val="center"/>
          </w:tcPr>
          <w:p w14:paraId="37112373" w14:textId="77777777" w:rsidR="00881826" w:rsidRDefault="00881826" w:rsidP="00B85FF0">
            <w:pPr>
              <w:spacing w:after="100"/>
            </w:pPr>
            <w:r>
              <w:t xml:space="preserve">Realizar acciones tendientes a la protección de los datos personales en posesión de la Dirección de Pensiones, de conformidad con la normatividad vigente. </w:t>
            </w:r>
          </w:p>
        </w:tc>
      </w:tr>
      <w:tr w:rsidR="00881826" w14:paraId="7846FD60" w14:textId="77777777" w:rsidTr="00881826">
        <w:tc>
          <w:tcPr>
            <w:tcW w:w="4322" w:type="dxa"/>
          </w:tcPr>
          <w:p w14:paraId="6BBDE39A" w14:textId="31F2C476" w:rsidR="00881826" w:rsidRPr="00EF6EF7" w:rsidRDefault="00881826" w:rsidP="00B85FF0">
            <w:pPr>
              <w:spacing w:after="100"/>
            </w:pPr>
            <w:r>
              <w:t>Cumplimiento en la emisión de informes ante autoridades competentes</w:t>
            </w:r>
            <w:r w:rsidR="000A6A8D">
              <w:t>.</w:t>
            </w:r>
          </w:p>
        </w:tc>
        <w:tc>
          <w:tcPr>
            <w:tcW w:w="4322" w:type="dxa"/>
          </w:tcPr>
          <w:p w14:paraId="6ED18E24" w14:textId="77777777" w:rsidR="00881826" w:rsidRDefault="00881826" w:rsidP="00B85FF0">
            <w:pPr>
              <w:spacing w:after="100"/>
            </w:pPr>
            <w:r>
              <w:t xml:space="preserve">Emitir los informes señalados en la legislación vigente respecto a transparencia y protección de datos personales. </w:t>
            </w:r>
          </w:p>
        </w:tc>
      </w:tr>
    </w:tbl>
    <w:p w14:paraId="56734748" w14:textId="77777777" w:rsidR="00881826" w:rsidRDefault="00881826" w:rsidP="00A51C60">
      <w:pPr>
        <w:spacing w:after="100" w:line="240" w:lineRule="auto"/>
        <w:jc w:val="both"/>
      </w:pPr>
    </w:p>
    <w:p w14:paraId="6ADA7371" w14:textId="77777777" w:rsidR="00CD1311" w:rsidRDefault="00CD1311" w:rsidP="00CD1311">
      <w:pPr>
        <w:spacing w:after="100" w:line="240" w:lineRule="auto"/>
        <w:jc w:val="center"/>
        <w:rPr>
          <w:b/>
        </w:rPr>
      </w:pPr>
      <w:r>
        <w:rPr>
          <w:b/>
        </w:rPr>
        <w:t>COORDINACION DE ARCHIVOS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CD1311" w:rsidRPr="00983944" w14:paraId="48A310BF" w14:textId="77777777" w:rsidTr="00F51C0B">
        <w:tc>
          <w:tcPr>
            <w:tcW w:w="4246" w:type="dxa"/>
          </w:tcPr>
          <w:p w14:paraId="598BB4E7" w14:textId="77777777" w:rsidR="00CD1311" w:rsidRPr="00983944" w:rsidRDefault="00CD1311" w:rsidP="00B85FF0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>PROGRAMAS A DESARROLLAR</w:t>
            </w:r>
          </w:p>
        </w:tc>
        <w:tc>
          <w:tcPr>
            <w:tcW w:w="4248" w:type="dxa"/>
          </w:tcPr>
          <w:p w14:paraId="5FA7EFB0" w14:textId="22377BE1" w:rsidR="00CD1311" w:rsidRPr="00983944" w:rsidRDefault="00CD1311" w:rsidP="00B85FF0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>METAS Y OBJETIVOS 20</w:t>
            </w:r>
            <w:r w:rsidR="00880B01">
              <w:rPr>
                <w:b/>
              </w:rPr>
              <w:t>2</w:t>
            </w:r>
            <w:r w:rsidR="00E0092E">
              <w:rPr>
                <w:b/>
              </w:rPr>
              <w:t>5</w:t>
            </w:r>
          </w:p>
        </w:tc>
      </w:tr>
      <w:tr w:rsidR="001C2BA7" w14:paraId="2165EC99" w14:textId="77777777" w:rsidTr="00FF0531">
        <w:tc>
          <w:tcPr>
            <w:tcW w:w="4246" w:type="dxa"/>
          </w:tcPr>
          <w:p w14:paraId="1E9458CE" w14:textId="77777777" w:rsidR="001C2BA7" w:rsidRPr="00EF6EF7" w:rsidRDefault="001C2BA7" w:rsidP="00FF0531">
            <w:pPr>
              <w:spacing w:after="100"/>
            </w:pPr>
            <w:r>
              <w:t>Integración de documentos en expedientes y atención de flujo diario.</w:t>
            </w:r>
          </w:p>
        </w:tc>
        <w:tc>
          <w:tcPr>
            <w:tcW w:w="4248" w:type="dxa"/>
          </w:tcPr>
          <w:p w14:paraId="3C1F8CB6" w14:textId="77777777" w:rsidR="001C2BA7" w:rsidRDefault="001C2BA7" w:rsidP="00FF0531">
            <w:pPr>
              <w:spacing w:after="100"/>
            </w:pPr>
            <w:r>
              <w:t xml:space="preserve">Mantener debidamente integrado el archivo </w:t>
            </w:r>
            <w:proofErr w:type="gramStart"/>
            <w:r>
              <w:t>así  como</w:t>
            </w:r>
            <w:proofErr w:type="gramEnd"/>
            <w:r>
              <w:t xml:space="preserve"> atender y controlar el flujo diario de solicitudes de expedientes. </w:t>
            </w:r>
          </w:p>
        </w:tc>
      </w:tr>
      <w:tr w:rsidR="003D6C2D" w14:paraId="2BE47C8A" w14:textId="77777777" w:rsidTr="00F51C0B">
        <w:tc>
          <w:tcPr>
            <w:tcW w:w="4246" w:type="dxa"/>
            <w:vAlign w:val="center"/>
          </w:tcPr>
          <w:p w14:paraId="07757DC8" w14:textId="0455A45D" w:rsidR="003D6C2D" w:rsidRDefault="003D6C2D" w:rsidP="003D6C2D">
            <w:pPr>
              <w:spacing w:after="100"/>
            </w:pPr>
            <w:r>
              <w:t>Integrar,</w:t>
            </w:r>
            <w:r w:rsidRPr="003D6C2D">
              <w:t xml:space="preserve"> clasificar y realizar su ubicación topográfica correspondiente y archivar los expedientes de todos los sectores</w:t>
            </w:r>
            <w:r>
              <w:t>.</w:t>
            </w:r>
            <w:r w:rsidRPr="003D6C2D">
              <w:t xml:space="preserve"> </w:t>
            </w:r>
          </w:p>
        </w:tc>
        <w:tc>
          <w:tcPr>
            <w:tcW w:w="4248" w:type="dxa"/>
            <w:vAlign w:val="center"/>
          </w:tcPr>
          <w:p w14:paraId="41671D86" w14:textId="0733DACD" w:rsidR="003D6C2D" w:rsidRDefault="003D6C2D" w:rsidP="003D6C2D">
            <w:pPr>
              <w:spacing w:after="100"/>
              <w:jc w:val="both"/>
            </w:pPr>
            <w:r>
              <w:t>No tener rezago para propiciar la fácil ubicación de los expedientes.</w:t>
            </w:r>
          </w:p>
        </w:tc>
      </w:tr>
      <w:tr w:rsidR="003D6C2D" w14:paraId="4C23888F" w14:textId="77777777" w:rsidTr="00F51C0B">
        <w:tc>
          <w:tcPr>
            <w:tcW w:w="4246" w:type="dxa"/>
            <w:vAlign w:val="center"/>
          </w:tcPr>
          <w:p w14:paraId="60BC9331" w14:textId="6516DDC6" w:rsidR="003D6C2D" w:rsidRDefault="003D6C2D" w:rsidP="003D6C2D">
            <w:pPr>
              <w:spacing w:after="100"/>
            </w:pPr>
            <w:r w:rsidRPr="003D6C2D">
              <w:t>Programa de depuración, expurgo y análisis de los expedientes de archivo histórico</w:t>
            </w:r>
          </w:p>
        </w:tc>
        <w:tc>
          <w:tcPr>
            <w:tcW w:w="4248" w:type="dxa"/>
            <w:vAlign w:val="center"/>
          </w:tcPr>
          <w:p w14:paraId="3D67A4A1" w14:textId="505E2F7C" w:rsidR="003D6C2D" w:rsidRDefault="00FA52D5" w:rsidP="00FA52D5">
            <w:pPr>
              <w:spacing w:after="100"/>
              <w:jc w:val="both"/>
            </w:pPr>
            <w:r>
              <w:t xml:space="preserve">Continuar con el análisis de </w:t>
            </w:r>
            <w:r w:rsidR="003D6C2D">
              <w:t>expedientes que formará</w:t>
            </w:r>
            <w:r w:rsidR="003D6C2D" w:rsidRPr="003D6C2D">
              <w:t>n parte del archivo histórico</w:t>
            </w:r>
          </w:p>
        </w:tc>
      </w:tr>
      <w:tr w:rsidR="003D6C2D" w14:paraId="13797A0C" w14:textId="77777777" w:rsidTr="00F51C0B">
        <w:tc>
          <w:tcPr>
            <w:tcW w:w="4246" w:type="dxa"/>
            <w:vAlign w:val="center"/>
          </w:tcPr>
          <w:p w14:paraId="7D49E0FD" w14:textId="04B8BBFE" w:rsidR="003D6C2D" w:rsidRDefault="003D6C2D" w:rsidP="003D6C2D">
            <w:pPr>
              <w:spacing w:after="100"/>
            </w:pPr>
            <w:r w:rsidRPr="003D6C2D">
              <w:t>Análisis de documentación que se encuentra en el sótano; realizar el expurgo y clasificación de toda la información en base a su valoración documental</w:t>
            </w:r>
          </w:p>
        </w:tc>
        <w:tc>
          <w:tcPr>
            <w:tcW w:w="4248" w:type="dxa"/>
            <w:vAlign w:val="center"/>
          </w:tcPr>
          <w:p w14:paraId="16494219" w14:textId="30406DC9" w:rsidR="003D6C2D" w:rsidRDefault="00FA52D5" w:rsidP="003D6C2D">
            <w:pPr>
              <w:spacing w:after="100"/>
            </w:pPr>
            <w:r>
              <w:t>Continuar con el inventario</w:t>
            </w:r>
            <w:r w:rsidR="003D6C2D" w:rsidRPr="003D6C2D">
              <w:t xml:space="preserve"> de las cajas que se encuentran en el archivo para su próximo análisis</w:t>
            </w:r>
          </w:p>
        </w:tc>
      </w:tr>
    </w:tbl>
    <w:p w14:paraId="4C263361" w14:textId="77777777" w:rsidR="00CD1311" w:rsidRPr="00C70C22" w:rsidRDefault="00CD1311" w:rsidP="00A51C60">
      <w:pPr>
        <w:spacing w:after="100" w:line="240" w:lineRule="auto"/>
        <w:jc w:val="both"/>
      </w:pPr>
    </w:p>
    <w:sectPr w:rsidR="00CD1311" w:rsidRPr="00C70C22" w:rsidSect="00E34C54">
      <w:headerReference w:type="default" r:id="rId7"/>
      <w:footerReference w:type="default" r:id="rId8"/>
      <w:pgSz w:w="12240" w:h="15840" w:code="1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87189" w14:textId="77777777" w:rsidR="000E6375" w:rsidRDefault="000E6375" w:rsidP="005069B9">
      <w:pPr>
        <w:spacing w:after="0" w:line="240" w:lineRule="auto"/>
      </w:pPr>
      <w:r>
        <w:separator/>
      </w:r>
    </w:p>
  </w:endnote>
  <w:endnote w:type="continuationSeparator" w:id="0">
    <w:p w14:paraId="6D29A1CE" w14:textId="77777777" w:rsidR="000E6375" w:rsidRDefault="000E6375" w:rsidP="0050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7958" w14:textId="6F10CCCA" w:rsidR="00FF0531" w:rsidRDefault="00FF0531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POA 202</w:t>
    </w:r>
    <w:r w:rsidR="00C408EA">
      <w:rPr>
        <w:rFonts w:asciiTheme="majorHAnsi" w:hAnsiTheme="majorHAnsi"/>
      </w:rPr>
      <w:t>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E427E7" w:rsidRPr="00E427E7">
      <w:rPr>
        <w:rFonts w:asciiTheme="majorHAnsi" w:hAnsiTheme="majorHAnsi"/>
        <w:noProof/>
      </w:rPr>
      <w:t>7</w:t>
    </w:r>
    <w:r>
      <w:rPr>
        <w:rFonts w:asciiTheme="majorHAnsi" w:hAnsiTheme="majorHAnsi"/>
        <w:noProof/>
      </w:rPr>
      <w:fldChar w:fldCharType="end"/>
    </w:r>
  </w:p>
  <w:p w14:paraId="44720301" w14:textId="77777777" w:rsidR="00FF0531" w:rsidRDefault="00FF05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49D61" w14:textId="77777777" w:rsidR="000E6375" w:rsidRDefault="000E6375" w:rsidP="005069B9">
      <w:pPr>
        <w:spacing w:after="0" w:line="240" w:lineRule="auto"/>
      </w:pPr>
      <w:r>
        <w:separator/>
      </w:r>
    </w:p>
  </w:footnote>
  <w:footnote w:type="continuationSeparator" w:id="0">
    <w:p w14:paraId="04673CA5" w14:textId="77777777" w:rsidR="000E6375" w:rsidRDefault="000E6375" w:rsidP="0050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7D16F" w14:textId="60ED77DB" w:rsidR="00FF0531" w:rsidRDefault="00FF0531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1BEADB" wp14:editId="307675F5">
          <wp:simplePos x="0" y="0"/>
          <wp:positionH relativeFrom="margin">
            <wp:align>left</wp:align>
          </wp:positionH>
          <wp:positionV relativeFrom="paragraph">
            <wp:posOffset>-81077</wp:posOffset>
          </wp:positionV>
          <wp:extent cx="2238375" cy="428921"/>
          <wp:effectExtent l="0" t="0" r="0" b="9525"/>
          <wp:wrapSquare wrapText="bothSides"/>
          <wp:docPr id="1" name="Imagen 3">
            <a:extLst xmlns:a="http://schemas.openxmlformats.org/drawingml/2006/main">
              <a:ext uri="{FF2B5EF4-FFF2-40B4-BE49-F238E27FC236}">
                <a16:creationId xmlns:a16="http://schemas.microsoft.com/office/drawing/2014/main" id="{DE4ABD9B-A08C-4E81-9186-FB7C9FE194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DE4ABD9B-A08C-4E81-9186-FB7C9FE194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375" cy="428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DA5862" w14:textId="77777777" w:rsidR="00FF0531" w:rsidRDefault="00FF0531">
    <w:pPr>
      <w:pStyle w:val="Encabezado"/>
    </w:pPr>
  </w:p>
  <w:p w14:paraId="4B97F3DF" w14:textId="337139C6" w:rsidR="00FF0531" w:rsidRPr="00E34C54" w:rsidRDefault="00FF0531" w:rsidP="00E34C54">
    <w:pPr>
      <w:pStyle w:val="Encabezado"/>
      <w:jc w:val="right"/>
      <w:rPr>
        <w:rFonts w:cs="Arial"/>
        <w:b/>
      </w:rPr>
    </w:pPr>
    <w:r w:rsidRPr="00E34C54">
      <w:rPr>
        <w:rFonts w:cs="Arial"/>
        <w:b/>
      </w:rPr>
      <w:t>PLAN DE TRABAJO 202</w:t>
    </w:r>
    <w:r w:rsidR="00945A51">
      <w:rPr>
        <w:rFonts w:cs="Arial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60"/>
    <w:rsid w:val="00005314"/>
    <w:rsid w:val="00032C55"/>
    <w:rsid w:val="000420F5"/>
    <w:rsid w:val="000616A6"/>
    <w:rsid w:val="0006426D"/>
    <w:rsid w:val="0006734C"/>
    <w:rsid w:val="00067F84"/>
    <w:rsid w:val="0009194D"/>
    <w:rsid w:val="00096DC4"/>
    <w:rsid w:val="000A6A8D"/>
    <w:rsid w:val="000C3592"/>
    <w:rsid w:val="000D7EB0"/>
    <w:rsid w:val="000E6375"/>
    <w:rsid w:val="000F61BF"/>
    <w:rsid w:val="00172250"/>
    <w:rsid w:val="001806C1"/>
    <w:rsid w:val="001B70E2"/>
    <w:rsid w:val="001C2BA7"/>
    <w:rsid w:val="001C588D"/>
    <w:rsid w:val="001D0129"/>
    <w:rsid w:val="001E4179"/>
    <w:rsid w:val="001F0205"/>
    <w:rsid w:val="002004DA"/>
    <w:rsid w:val="00203C4C"/>
    <w:rsid w:val="0021408B"/>
    <w:rsid w:val="00217A64"/>
    <w:rsid w:val="002335EF"/>
    <w:rsid w:val="0023459B"/>
    <w:rsid w:val="0025374D"/>
    <w:rsid w:val="002967DD"/>
    <w:rsid w:val="002A2C00"/>
    <w:rsid w:val="002B12FC"/>
    <w:rsid w:val="002B4CB6"/>
    <w:rsid w:val="002E2567"/>
    <w:rsid w:val="002E4544"/>
    <w:rsid w:val="00305527"/>
    <w:rsid w:val="00326F13"/>
    <w:rsid w:val="00327F7D"/>
    <w:rsid w:val="00353C4E"/>
    <w:rsid w:val="00353E97"/>
    <w:rsid w:val="0037591A"/>
    <w:rsid w:val="00380706"/>
    <w:rsid w:val="003930C0"/>
    <w:rsid w:val="003B041B"/>
    <w:rsid w:val="003B0D5A"/>
    <w:rsid w:val="003C6416"/>
    <w:rsid w:val="003D6C2D"/>
    <w:rsid w:val="00413637"/>
    <w:rsid w:val="0041740C"/>
    <w:rsid w:val="004304D6"/>
    <w:rsid w:val="00440CB0"/>
    <w:rsid w:val="004432F5"/>
    <w:rsid w:val="00446C25"/>
    <w:rsid w:val="00455FC1"/>
    <w:rsid w:val="00457F9A"/>
    <w:rsid w:val="004706B6"/>
    <w:rsid w:val="004A0CEE"/>
    <w:rsid w:val="004B0284"/>
    <w:rsid w:val="004C2079"/>
    <w:rsid w:val="004E5BD3"/>
    <w:rsid w:val="004F447B"/>
    <w:rsid w:val="005069B9"/>
    <w:rsid w:val="0051202E"/>
    <w:rsid w:val="00520FCB"/>
    <w:rsid w:val="005367A9"/>
    <w:rsid w:val="005548E0"/>
    <w:rsid w:val="00556853"/>
    <w:rsid w:val="005725EA"/>
    <w:rsid w:val="00581F9A"/>
    <w:rsid w:val="005828D1"/>
    <w:rsid w:val="00586C48"/>
    <w:rsid w:val="005B24B7"/>
    <w:rsid w:val="005C570F"/>
    <w:rsid w:val="005C61F9"/>
    <w:rsid w:val="005E5C9A"/>
    <w:rsid w:val="00604D44"/>
    <w:rsid w:val="00607582"/>
    <w:rsid w:val="00615183"/>
    <w:rsid w:val="006546A7"/>
    <w:rsid w:val="006870F6"/>
    <w:rsid w:val="006B3AB8"/>
    <w:rsid w:val="006F6891"/>
    <w:rsid w:val="00733185"/>
    <w:rsid w:val="007401D3"/>
    <w:rsid w:val="00756666"/>
    <w:rsid w:val="00774EDF"/>
    <w:rsid w:val="007A6D2C"/>
    <w:rsid w:val="007B4F2E"/>
    <w:rsid w:val="007B6A0D"/>
    <w:rsid w:val="007C588E"/>
    <w:rsid w:val="007E269A"/>
    <w:rsid w:val="007F48C2"/>
    <w:rsid w:val="0087576E"/>
    <w:rsid w:val="00880B01"/>
    <w:rsid w:val="00881826"/>
    <w:rsid w:val="00895FC1"/>
    <w:rsid w:val="008F481C"/>
    <w:rsid w:val="00945A51"/>
    <w:rsid w:val="00962D4F"/>
    <w:rsid w:val="00973D58"/>
    <w:rsid w:val="00983944"/>
    <w:rsid w:val="009858B3"/>
    <w:rsid w:val="00986722"/>
    <w:rsid w:val="009C062F"/>
    <w:rsid w:val="009D5752"/>
    <w:rsid w:val="009E0571"/>
    <w:rsid w:val="009E136E"/>
    <w:rsid w:val="009E6C6A"/>
    <w:rsid w:val="009E6F66"/>
    <w:rsid w:val="009F5D91"/>
    <w:rsid w:val="00A22B33"/>
    <w:rsid w:val="00A27A8D"/>
    <w:rsid w:val="00A32005"/>
    <w:rsid w:val="00A42CD0"/>
    <w:rsid w:val="00A47FC6"/>
    <w:rsid w:val="00A51C60"/>
    <w:rsid w:val="00A559DB"/>
    <w:rsid w:val="00AB30F6"/>
    <w:rsid w:val="00AD4B34"/>
    <w:rsid w:val="00AD6C04"/>
    <w:rsid w:val="00AF174C"/>
    <w:rsid w:val="00B10E2F"/>
    <w:rsid w:val="00B24960"/>
    <w:rsid w:val="00B31927"/>
    <w:rsid w:val="00B3717D"/>
    <w:rsid w:val="00B401AD"/>
    <w:rsid w:val="00B85FF0"/>
    <w:rsid w:val="00B9392B"/>
    <w:rsid w:val="00BA6DB8"/>
    <w:rsid w:val="00BB644C"/>
    <w:rsid w:val="00BC5A9D"/>
    <w:rsid w:val="00BD4285"/>
    <w:rsid w:val="00BE7C6C"/>
    <w:rsid w:val="00C000E1"/>
    <w:rsid w:val="00C01EEE"/>
    <w:rsid w:val="00C11C6D"/>
    <w:rsid w:val="00C1310B"/>
    <w:rsid w:val="00C408EA"/>
    <w:rsid w:val="00C55D13"/>
    <w:rsid w:val="00C70C22"/>
    <w:rsid w:val="00CA3A1D"/>
    <w:rsid w:val="00CB2652"/>
    <w:rsid w:val="00CD1311"/>
    <w:rsid w:val="00CE4081"/>
    <w:rsid w:val="00CE55A2"/>
    <w:rsid w:val="00CF286B"/>
    <w:rsid w:val="00D1740F"/>
    <w:rsid w:val="00D31518"/>
    <w:rsid w:val="00D542D4"/>
    <w:rsid w:val="00DB5FBD"/>
    <w:rsid w:val="00DD4028"/>
    <w:rsid w:val="00DE6D27"/>
    <w:rsid w:val="00DF21F0"/>
    <w:rsid w:val="00DF51C1"/>
    <w:rsid w:val="00E0092E"/>
    <w:rsid w:val="00E1185E"/>
    <w:rsid w:val="00E34C54"/>
    <w:rsid w:val="00E40EBC"/>
    <w:rsid w:val="00E427E7"/>
    <w:rsid w:val="00E54412"/>
    <w:rsid w:val="00E90E23"/>
    <w:rsid w:val="00EC103F"/>
    <w:rsid w:val="00EF33F0"/>
    <w:rsid w:val="00EF368F"/>
    <w:rsid w:val="00EF6EF7"/>
    <w:rsid w:val="00F317DD"/>
    <w:rsid w:val="00F51C0B"/>
    <w:rsid w:val="00F64AD9"/>
    <w:rsid w:val="00F7144E"/>
    <w:rsid w:val="00F75843"/>
    <w:rsid w:val="00F85AF0"/>
    <w:rsid w:val="00F8717D"/>
    <w:rsid w:val="00F92363"/>
    <w:rsid w:val="00F93C6C"/>
    <w:rsid w:val="00FA52D5"/>
    <w:rsid w:val="00FB656D"/>
    <w:rsid w:val="00FE1DE1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9BB5B"/>
  <w15:docId w15:val="{9CC721A0-3042-4668-8E31-74D388F7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39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C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6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9B9"/>
  </w:style>
  <w:style w:type="paragraph" w:styleId="Piedepgina">
    <w:name w:val="footer"/>
    <w:basedOn w:val="Normal"/>
    <w:link w:val="PiedepginaCar"/>
    <w:uiPriority w:val="99"/>
    <w:unhideWhenUsed/>
    <w:rsid w:val="005069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E052-6A8E-43D6-9CB8-8A217A49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1887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Magally</dc:creator>
  <cp:lastModifiedBy>Pensiones SLP</cp:lastModifiedBy>
  <cp:revision>2</cp:revision>
  <cp:lastPrinted>2023-01-18T02:24:00Z</cp:lastPrinted>
  <dcterms:created xsi:type="dcterms:W3CDTF">2025-02-07T19:55:00Z</dcterms:created>
  <dcterms:modified xsi:type="dcterms:W3CDTF">2025-02-07T19:55:00Z</dcterms:modified>
</cp:coreProperties>
</file>