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071F" w14:textId="77777777" w:rsidR="00EE3DDD" w:rsidRPr="00EE3DDD" w:rsidRDefault="00EE3DDD" w:rsidP="00EE3DDD">
      <w:pPr>
        <w:jc w:val="center"/>
        <w:rPr>
          <w:rFonts w:ascii="Literata" w:hAnsi="Literata"/>
          <w:b/>
          <w:bCs/>
          <w:sz w:val="20"/>
          <w:szCs w:val="20"/>
        </w:rPr>
      </w:pPr>
      <w:r w:rsidRPr="00EE3DDD">
        <w:rPr>
          <w:rFonts w:ascii="Literata" w:hAnsi="Literata"/>
          <w:b/>
          <w:bCs/>
          <w:sz w:val="20"/>
          <w:szCs w:val="20"/>
        </w:rPr>
        <w:t>NO SE GENERA</w:t>
      </w:r>
    </w:p>
    <w:p w14:paraId="4D08F0D9" w14:textId="77777777" w:rsidR="00EE3DDD" w:rsidRPr="00EE3DDD" w:rsidRDefault="00EE3DDD" w:rsidP="00EE3DDD">
      <w:pPr>
        <w:jc w:val="center"/>
        <w:rPr>
          <w:rFonts w:ascii="Literata" w:hAnsi="Literata"/>
          <w:b/>
          <w:bCs/>
          <w:sz w:val="20"/>
          <w:szCs w:val="20"/>
        </w:rPr>
      </w:pPr>
      <w:r w:rsidRPr="00EE3DDD">
        <w:rPr>
          <w:rFonts w:ascii="Literata" w:hAnsi="Literata"/>
          <w:b/>
          <w:bCs/>
          <w:sz w:val="20"/>
          <w:szCs w:val="20"/>
        </w:rPr>
        <w:t>INFORMACIÓN</w:t>
      </w:r>
    </w:p>
    <w:p w14:paraId="74D22C7E" w14:textId="16F0E507" w:rsidR="00EE3DDD" w:rsidRPr="00EE3DDD" w:rsidRDefault="00EE3DDD" w:rsidP="00EE3DDD">
      <w:pPr>
        <w:jc w:val="both"/>
        <w:rPr>
          <w:rFonts w:ascii="Literata" w:eastAsia="Times New Roman" w:hAnsi="Literata" w:cs="Arial"/>
          <w:color w:val="000000"/>
          <w:sz w:val="20"/>
          <w:szCs w:val="20"/>
          <w:lang w:val="es-ES" w:eastAsia="es-ES"/>
        </w:rPr>
      </w:pPr>
      <w:r w:rsidRPr="00EE3DDD">
        <w:rPr>
          <w:rFonts w:ascii="Literata" w:hAnsi="Literata"/>
          <w:sz w:val="20"/>
          <w:szCs w:val="20"/>
        </w:rPr>
        <w:t xml:space="preserve">Este sujeto obligado si está facultado para generar la información requerida, </w:t>
      </w:r>
      <w:r w:rsidRPr="00EE3DDD">
        <w:rPr>
          <w:rFonts w:ascii="Literata" w:eastAsia="Times New Roman" w:hAnsi="Literata" w:cs="Arial"/>
          <w:color w:val="000000"/>
          <w:sz w:val="20"/>
          <w:szCs w:val="20"/>
          <w:lang w:val="es-ES" w:eastAsia="es-ES"/>
        </w:rPr>
        <w:t>pero durante el mes que se reporta</w:t>
      </w:r>
      <w:r w:rsidRPr="00EE3DDD">
        <w:rPr>
          <w:rFonts w:ascii="Literata" w:eastAsia="Times New Roman" w:hAnsi="Literata" w:cs="Arial"/>
          <w:color w:val="000000"/>
          <w:sz w:val="20"/>
          <w:szCs w:val="20"/>
          <w:lang w:val="es-ES" w:eastAsia="es-ES"/>
        </w:rPr>
        <w:t xml:space="preserve"> </w:t>
      </w:r>
      <w:r w:rsidRPr="00EE3DDD">
        <w:rPr>
          <w:rFonts w:ascii="Literata" w:eastAsia="Times New Roman" w:hAnsi="Literata" w:cs="Arial"/>
          <w:b/>
          <w:bCs/>
          <w:i/>
          <w:iCs/>
          <w:color w:val="000000"/>
          <w:sz w:val="20"/>
          <w:szCs w:val="20"/>
          <w:lang w:val="es-ES" w:eastAsia="es-ES"/>
        </w:rPr>
        <w:t>NO GENERO “EROGACIÓN DE LOS RECURSOS POR CONTRATACIÓN DE SERVICIOS DE IMPRESIÓN, DIFUSIÓN Y PUBLICIDAD DEL SUJETO OBLIGADO”</w:t>
      </w:r>
      <w:r w:rsidRPr="00EE3DDD">
        <w:rPr>
          <w:rFonts w:ascii="Literata" w:eastAsia="Times New Roman" w:hAnsi="Literata" w:cs="Arial"/>
          <w:bCs/>
          <w:color w:val="000000"/>
          <w:sz w:val="20"/>
          <w:szCs w:val="20"/>
          <w:lang w:val="es-ES" w:eastAsia="es-ES"/>
        </w:rPr>
        <w:t xml:space="preserve"> </w:t>
      </w:r>
      <w:r w:rsidRPr="00EE3DDD">
        <w:rPr>
          <w:rFonts w:ascii="Literata" w:eastAsia="Times New Roman" w:hAnsi="Literata" w:cs="Arial"/>
          <w:bCs/>
          <w:color w:val="000000"/>
          <w:sz w:val="20"/>
          <w:szCs w:val="20"/>
          <w:lang w:val="es-ES" w:eastAsia="es-ES"/>
        </w:rPr>
        <w:t xml:space="preserve">ni </w:t>
      </w:r>
      <w:r w:rsidRPr="00EE3DDD">
        <w:rPr>
          <w:rFonts w:ascii="Literata" w:eastAsia="Times New Roman" w:hAnsi="Literata" w:cs="Arial"/>
          <w:color w:val="000000"/>
          <w:sz w:val="20"/>
          <w:szCs w:val="20"/>
          <w:lang w:val="es-ES" w:eastAsia="es-ES"/>
        </w:rPr>
        <w:t>hipervínculo con información para publicar</w:t>
      </w:r>
      <w:r w:rsidRPr="00EE3DDD">
        <w:rPr>
          <w:rFonts w:ascii="Literata" w:eastAsia="Times New Roman" w:hAnsi="Literata" w:cs="Arial"/>
          <w:color w:val="000000"/>
          <w:sz w:val="20"/>
          <w:szCs w:val="20"/>
          <w:lang w:val="es-ES" w:eastAsia="es-ES"/>
        </w:rPr>
        <w:t>.</w:t>
      </w:r>
    </w:p>
    <w:p w14:paraId="368C1CD4" w14:textId="77777777" w:rsidR="00EE3DDD" w:rsidRPr="00EE3DDD" w:rsidRDefault="00EE3DDD" w:rsidP="00EE3DDD">
      <w:pPr>
        <w:jc w:val="both"/>
        <w:rPr>
          <w:rFonts w:ascii="Literata" w:eastAsia="Times New Roman" w:hAnsi="Literata" w:cs="Arial"/>
          <w:color w:val="000000"/>
          <w:sz w:val="20"/>
          <w:szCs w:val="20"/>
          <w:lang w:val="es-ES" w:eastAsia="es-ES"/>
        </w:rPr>
      </w:pPr>
    </w:p>
    <w:p w14:paraId="34F72CA4" w14:textId="77777777" w:rsidR="00EE3DDD" w:rsidRPr="00EE3DDD" w:rsidRDefault="00EE3DDD" w:rsidP="00EE3DDD">
      <w:pPr>
        <w:spacing w:after="0" w:line="240" w:lineRule="auto"/>
        <w:jc w:val="both"/>
        <w:rPr>
          <w:rFonts w:ascii="Literata" w:eastAsia="Times New Roman" w:hAnsi="Literata" w:cs="Arial"/>
          <w:color w:val="000000"/>
          <w:sz w:val="20"/>
          <w:szCs w:val="20"/>
          <w:lang w:val="es-ES" w:eastAsia="es-ES"/>
        </w:rPr>
      </w:pPr>
      <w:r w:rsidRPr="00EE3DDD">
        <w:rPr>
          <w:rFonts w:ascii="Literata" w:eastAsia="Times New Roman" w:hAnsi="Literata" w:cs="Arial"/>
          <w:color w:val="000000"/>
          <w:sz w:val="20"/>
          <w:szCs w:val="20"/>
          <w:lang w:val="es-ES" w:eastAsia="es-ES"/>
        </w:rPr>
        <w:t>Lo anterior, en observancia a lo establecido en la siguiente legislación:</w:t>
      </w:r>
    </w:p>
    <w:p w14:paraId="2D6B7E32" w14:textId="77777777" w:rsidR="00EE3DDD" w:rsidRPr="00EE3DDD" w:rsidRDefault="00EE3DDD" w:rsidP="00EE3DDD">
      <w:pPr>
        <w:pStyle w:val="Default"/>
        <w:rPr>
          <w:rFonts w:ascii="Literata" w:hAnsi="Literata"/>
          <w:sz w:val="20"/>
          <w:szCs w:val="20"/>
        </w:rPr>
      </w:pPr>
    </w:p>
    <w:p w14:paraId="414E9333" w14:textId="5B468A76" w:rsidR="00EE3DDD" w:rsidRPr="00EE3DDD" w:rsidRDefault="00EE3DDD" w:rsidP="00EE3DDD">
      <w:pPr>
        <w:ind w:left="708" w:firstLine="36"/>
        <w:jc w:val="both"/>
        <w:rPr>
          <w:rFonts w:ascii="Literata" w:eastAsia="Times New Roman" w:hAnsi="Literata" w:cs="Arial"/>
          <w:b/>
          <w:bCs/>
          <w:i/>
          <w:iCs/>
          <w:color w:val="000000"/>
          <w:sz w:val="20"/>
          <w:szCs w:val="20"/>
          <w:lang w:val="es-ES" w:eastAsia="es-ES"/>
        </w:rPr>
      </w:pPr>
      <w:r w:rsidRPr="00EE3DDD">
        <w:rPr>
          <w:rFonts w:ascii="Literata" w:eastAsia="Times New Roman" w:hAnsi="Literata" w:cs="Arial"/>
          <w:b/>
          <w:bCs/>
          <w:i/>
          <w:iCs/>
          <w:color w:val="000000"/>
          <w:sz w:val="20"/>
          <w:szCs w:val="20"/>
          <w:lang w:val="es-ES" w:eastAsia="es-ES"/>
        </w:rPr>
        <w:t>Ley de Pensiones y Prestaciones Sociales para los Trabajadores al Servicio del Estado de San Luis Potosí</w:t>
      </w:r>
    </w:p>
    <w:p w14:paraId="68295784" w14:textId="3C3AB2CD" w:rsidR="00EE3DDD" w:rsidRPr="00EE3DDD" w:rsidRDefault="00EE3DDD" w:rsidP="00EE3DDD">
      <w:pPr>
        <w:jc w:val="both"/>
        <w:rPr>
          <w:rFonts w:ascii="Literata" w:hAnsi="Literata"/>
          <w:b/>
          <w:bCs/>
          <w:i/>
          <w:iCs/>
          <w:sz w:val="20"/>
          <w:szCs w:val="20"/>
        </w:rPr>
      </w:pPr>
      <w:r w:rsidRPr="00EE3DDD">
        <w:rPr>
          <w:rFonts w:ascii="Literata" w:hAnsi="Literata"/>
          <w:b/>
          <w:bCs/>
          <w:sz w:val="20"/>
          <w:szCs w:val="20"/>
        </w:rPr>
        <w:t xml:space="preserve">ARTICULO 12. </w:t>
      </w:r>
      <w:r w:rsidRPr="00EE3DDD">
        <w:rPr>
          <w:rFonts w:ascii="Literata" w:hAnsi="Literata"/>
          <w:sz w:val="20"/>
          <w:szCs w:val="20"/>
        </w:rPr>
        <w:t xml:space="preserve">Los gastos de operación y de nómina de la Dirección de Pensiones de los trabajadores en activo, serán cubiertos con los ingresos propios de la Dirección: estacionamiento y rentas, así como por los sectores en forma equitativa de acuerdo a los porcentajes promedio de ingresos de cada sector, y éstos serán con cargo a los intereses que se generen de su propio fondo de contingencia en proporción a sus fondos históricos. Con excepción del salario que devengue el </w:t>
      </w:r>
      <w:proofErr w:type="gramStart"/>
      <w:r w:rsidRPr="00EE3DDD">
        <w:rPr>
          <w:rFonts w:ascii="Literata" w:hAnsi="Literata"/>
          <w:sz w:val="20"/>
          <w:szCs w:val="20"/>
        </w:rPr>
        <w:t>Director</w:t>
      </w:r>
      <w:proofErr w:type="gramEnd"/>
      <w:r w:rsidRPr="00EE3DDD">
        <w:rPr>
          <w:rFonts w:ascii="Literata" w:hAnsi="Literata"/>
          <w:sz w:val="20"/>
          <w:szCs w:val="20"/>
        </w:rPr>
        <w:t xml:space="preserve"> de Pensiones del Estado, cuyo monto será cubierto por el erario estatal.</w:t>
      </w:r>
    </w:p>
    <w:p w14:paraId="053FE20D" w14:textId="3599EC15" w:rsidR="00EE3DDD" w:rsidRPr="00EE3DDD" w:rsidRDefault="00EE3DDD" w:rsidP="00EE3DDD">
      <w:pPr>
        <w:rPr>
          <w:rFonts w:ascii="Literata" w:hAnsi="Literata"/>
          <w:sz w:val="20"/>
          <w:szCs w:val="20"/>
        </w:rPr>
      </w:pPr>
      <w:r w:rsidRPr="00EE3DDD">
        <w:rPr>
          <w:rFonts w:ascii="Literata" w:hAnsi="Literata"/>
          <w:b/>
          <w:bCs/>
          <w:sz w:val="20"/>
          <w:szCs w:val="20"/>
        </w:rPr>
        <w:t xml:space="preserve">ARTICULO 100. </w:t>
      </w:r>
      <w:r w:rsidRPr="00EE3DDD">
        <w:rPr>
          <w:rFonts w:ascii="Literata" w:hAnsi="Literata"/>
          <w:sz w:val="20"/>
          <w:szCs w:val="20"/>
        </w:rPr>
        <w:t>Corresponde a la Junta Directiva:</w:t>
      </w:r>
    </w:p>
    <w:p w14:paraId="6DB1F80B" w14:textId="32EA2576" w:rsidR="00EE3DDD" w:rsidRDefault="00EE3DDD" w:rsidP="00EE3DDD">
      <w:pPr>
        <w:rPr>
          <w:rFonts w:ascii="Literata" w:hAnsi="Literata"/>
          <w:sz w:val="20"/>
          <w:szCs w:val="20"/>
        </w:rPr>
      </w:pPr>
      <w:r w:rsidRPr="00EE3DDD">
        <w:rPr>
          <w:rFonts w:ascii="Literata" w:hAnsi="Literata"/>
          <w:b/>
          <w:bCs/>
          <w:sz w:val="20"/>
          <w:szCs w:val="20"/>
        </w:rPr>
        <w:t xml:space="preserve">VI. </w:t>
      </w:r>
      <w:r w:rsidRPr="00EE3DDD">
        <w:rPr>
          <w:rFonts w:ascii="Literata" w:hAnsi="Literata"/>
          <w:sz w:val="20"/>
          <w:szCs w:val="20"/>
        </w:rPr>
        <w:t>Discutir y aprobar el presupuesto general de egresos de la Dirección de Pensiones, así como los gastos eventuales no contemplados en el mismo;</w:t>
      </w:r>
    </w:p>
    <w:p w14:paraId="3E0141C5" w14:textId="77777777" w:rsidR="00EE3DDD" w:rsidRDefault="00EE3DDD" w:rsidP="00EE3DDD">
      <w:pPr>
        <w:spacing w:after="0" w:line="240" w:lineRule="auto"/>
        <w:ind w:firstLine="708"/>
        <w:jc w:val="both"/>
        <w:rPr>
          <w:rFonts w:ascii="Literata" w:hAnsi="Literata"/>
          <w:sz w:val="20"/>
          <w:szCs w:val="20"/>
        </w:rPr>
      </w:pPr>
    </w:p>
    <w:p w14:paraId="690D6755" w14:textId="5D631AA0" w:rsidR="00EE3DDD" w:rsidRPr="00EE3DDD" w:rsidRDefault="00EE3DDD" w:rsidP="00EE3DDD">
      <w:pPr>
        <w:spacing w:after="0" w:line="240" w:lineRule="auto"/>
        <w:ind w:firstLine="708"/>
        <w:jc w:val="both"/>
        <w:rPr>
          <w:rFonts w:ascii="Literata" w:eastAsia="Times New Roman" w:hAnsi="Literata" w:cs="Arial"/>
          <w:b/>
          <w:bCs/>
          <w:i/>
          <w:iCs/>
          <w:color w:val="000000"/>
          <w:sz w:val="20"/>
          <w:szCs w:val="20"/>
          <w:lang w:val="es-ES" w:eastAsia="es-ES"/>
        </w:rPr>
      </w:pPr>
      <w:r w:rsidRPr="00EE3DDD">
        <w:rPr>
          <w:rFonts w:ascii="Literata" w:eastAsia="Times New Roman" w:hAnsi="Literata" w:cs="Arial"/>
          <w:b/>
          <w:bCs/>
          <w:i/>
          <w:iCs/>
          <w:color w:val="000000"/>
          <w:sz w:val="20"/>
          <w:szCs w:val="20"/>
          <w:lang w:val="es-ES" w:eastAsia="es-ES"/>
        </w:rPr>
        <w:t>Ley de Transparencia y Acceso a la Información Pública del Estado de San Luis Potosí.</w:t>
      </w:r>
    </w:p>
    <w:p w14:paraId="42420491" w14:textId="77777777" w:rsidR="00EE3DDD" w:rsidRPr="00EE3DDD" w:rsidRDefault="00EE3DDD" w:rsidP="00EE3DDD">
      <w:pPr>
        <w:spacing w:after="0" w:line="240" w:lineRule="auto"/>
        <w:jc w:val="both"/>
        <w:rPr>
          <w:rFonts w:ascii="Literata" w:eastAsia="Times New Roman" w:hAnsi="Literata" w:cs="Arial"/>
          <w:i/>
          <w:iCs/>
          <w:color w:val="000000"/>
          <w:sz w:val="20"/>
          <w:szCs w:val="20"/>
          <w:lang w:val="es-ES" w:eastAsia="es-ES"/>
        </w:rPr>
      </w:pPr>
    </w:p>
    <w:p w14:paraId="79B5FC99" w14:textId="77777777" w:rsidR="00EE3DDD" w:rsidRPr="00EE3DDD" w:rsidRDefault="00EE3DDD" w:rsidP="00EE3DDD">
      <w:pPr>
        <w:spacing w:after="0" w:line="240" w:lineRule="auto"/>
        <w:ind w:left="1416"/>
        <w:jc w:val="both"/>
        <w:rPr>
          <w:rFonts w:ascii="Literata" w:eastAsia="Times New Roman" w:hAnsi="Literata" w:cs="Arial"/>
          <w:i/>
          <w:iCs/>
          <w:color w:val="000000"/>
          <w:sz w:val="20"/>
          <w:szCs w:val="20"/>
          <w:lang w:val="es-ES" w:eastAsia="es-ES"/>
        </w:rPr>
      </w:pPr>
      <w:r w:rsidRPr="00EE3DDD">
        <w:rPr>
          <w:rFonts w:ascii="Literata" w:eastAsia="Times New Roman" w:hAnsi="Literata" w:cs="Arial"/>
          <w:b/>
          <w:bCs/>
          <w:i/>
          <w:iCs/>
          <w:color w:val="000000"/>
          <w:sz w:val="20"/>
          <w:szCs w:val="20"/>
          <w:lang w:val="es-ES" w:eastAsia="es-ES"/>
        </w:rPr>
        <w:t>Artículo 18.</w:t>
      </w:r>
      <w:r w:rsidRPr="00EE3DDD">
        <w:rPr>
          <w:rFonts w:ascii="Literata" w:eastAsia="Times New Roman" w:hAnsi="Literata" w:cs="Arial"/>
          <w:i/>
          <w:iCs/>
          <w:color w:val="000000"/>
          <w:sz w:val="20"/>
          <w:szCs w:val="20"/>
          <w:lang w:val="es-ES" w:eastAsia="es-ES"/>
        </w:rPr>
        <w:t xml:space="preserve"> Los sujetos obligados deberán documentar todo acto que derive del ejercicio de sus facultades, competencias o funciones.</w:t>
      </w:r>
    </w:p>
    <w:p w14:paraId="63FD2084" w14:textId="078088D1" w:rsidR="00FC56CA" w:rsidRPr="00EE3DDD" w:rsidRDefault="00FC56CA" w:rsidP="00EE3DDD">
      <w:pPr>
        <w:rPr>
          <w:rFonts w:ascii="Literata" w:hAnsi="Literata"/>
          <w:sz w:val="20"/>
          <w:szCs w:val="20"/>
        </w:rPr>
      </w:pPr>
    </w:p>
    <w:sectPr w:rsidR="00FC56CA" w:rsidRPr="00EE3DDD" w:rsidSect="00FC56CA">
      <w:type w:val="continuous"/>
      <w:pgSz w:w="12240" w:h="15840" w:code="1"/>
      <w:pgMar w:top="209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DD"/>
    <w:rsid w:val="004E4659"/>
    <w:rsid w:val="004F5DD7"/>
    <w:rsid w:val="00937679"/>
    <w:rsid w:val="00A72A65"/>
    <w:rsid w:val="00D801CE"/>
    <w:rsid w:val="00EE3DDD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9C61"/>
  <w15:chartTrackingRefBased/>
  <w15:docId w15:val="{8DC8D4DA-8FD4-4650-815A-CF330940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3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3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3D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3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3D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3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3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3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3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3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3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3D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3DD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3DD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3D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3D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3D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3D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3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3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3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3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3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3D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3D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3DD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3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3DD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3DD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E3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DPE_LIZ</dc:creator>
  <cp:keywords/>
  <dc:description/>
  <cp:lastModifiedBy>DPE_LIZ</cp:lastModifiedBy>
  <cp:revision>1</cp:revision>
  <dcterms:created xsi:type="dcterms:W3CDTF">2025-05-05T17:22:00Z</dcterms:created>
  <dcterms:modified xsi:type="dcterms:W3CDTF">2025-05-05T17:31:00Z</dcterms:modified>
</cp:coreProperties>
</file>